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9D9CA" w14:textId="77777777"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14:paraId="0A29D9CB" w14:textId="77777777" w:rsidR="00CD29BC" w:rsidRPr="002A48C3" w:rsidRDefault="00CD29BC" w:rsidP="00CD29BC">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45"/>
      <w:r w:rsidRPr="002A48C3">
        <w:rPr>
          <w:rFonts w:ascii="Arial" w:eastAsiaTheme="majorEastAsia" w:hAnsi="Arial" w:cstheme="majorBidi"/>
          <w:b/>
          <w:bCs/>
          <w:caps/>
          <w:sz w:val="26"/>
          <w:szCs w:val="24"/>
        </w:rPr>
        <w:t>General Counsel, Department of Veterans Affairs</w:t>
      </w:r>
      <w:bookmarkEnd w:id="1"/>
    </w:p>
    <w:p w14:paraId="0A29D9CC" w14:textId="77777777"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4"/>
        <w:gridCol w:w="6841"/>
        <w:gridCol w:w="7"/>
      </w:tblGrid>
      <w:tr w:rsidR="00CD29BC" w:rsidRPr="002D6470" w14:paraId="0A29D9CE" w14:textId="77777777" w:rsidTr="002D6470">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0A29D9CD" w14:textId="77777777" w:rsidR="00CD29BC" w:rsidRPr="002D6470" w:rsidRDefault="00CD29BC" w:rsidP="00E4729D">
            <w:pPr>
              <w:contextualSpacing/>
              <w:jc w:val="center"/>
              <w:rPr>
                <w:rFonts w:asciiTheme="majorHAnsi" w:hAnsiTheme="majorHAnsi" w:cstheme="majorHAnsi"/>
                <w:b/>
              </w:rPr>
            </w:pPr>
            <w:r w:rsidRPr="002D6470">
              <w:rPr>
                <w:rFonts w:asciiTheme="majorHAnsi" w:hAnsiTheme="majorHAnsi" w:cstheme="majorHAnsi"/>
                <w:b/>
              </w:rPr>
              <w:t>OVERVIEW</w:t>
            </w:r>
          </w:p>
        </w:tc>
      </w:tr>
      <w:tr w:rsidR="00CD29BC" w:rsidRPr="002D6470" w14:paraId="0A29D9D1" w14:textId="77777777" w:rsidTr="002D6470">
        <w:tc>
          <w:tcPr>
            <w:tcW w:w="261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29D9CF" w14:textId="77777777" w:rsidR="00CD29BC" w:rsidRPr="002D6470" w:rsidRDefault="00CD29BC" w:rsidP="00E4729D">
            <w:pPr>
              <w:contextualSpacing/>
              <w:rPr>
                <w:rFonts w:asciiTheme="majorHAnsi" w:hAnsiTheme="majorHAnsi" w:cstheme="majorHAnsi"/>
              </w:rPr>
            </w:pPr>
            <w:r w:rsidRPr="002D6470">
              <w:rPr>
                <w:rFonts w:asciiTheme="majorHAnsi" w:hAnsiTheme="majorHAnsi" w:cstheme="majorHAnsi"/>
              </w:rPr>
              <w:t>Senate Committee</w:t>
            </w:r>
          </w:p>
        </w:tc>
        <w:tc>
          <w:tcPr>
            <w:tcW w:w="6847" w:type="dxa"/>
            <w:gridSpan w:val="2"/>
            <w:tcBorders>
              <w:top w:val="single" w:sz="2" w:space="0" w:color="auto"/>
              <w:left w:val="single" w:sz="2" w:space="0" w:color="auto"/>
              <w:bottom w:val="single" w:sz="2" w:space="0" w:color="auto"/>
              <w:right w:val="single" w:sz="2" w:space="0" w:color="auto"/>
            </w:tcBorders>
          </w:tcPr>
          <w:p w14:paraId="0A29D9D0" w14:textId="5CA5337B" w:rsidR="00CD29BC" w:rsidRPr="002D6470" w:rsidRDefault="00CD29BC" w:rsidP="00E4729D">
            <w:pPr>
              <w:contextualSpacing/>
              <w:rPr>
                <w:rFonts w:asciiTheme="majorHAnsi" w:hAnsiTheme="majorHAnsi" w:cstheme="majorHAnsi"/>
                <w:bCs/>
              </w:rPr>
            </w:pPr>
            <w:r w:rsidRPr="002D6470">
              <w:rPr>
                <w:rFonts w:asciiTheme="majorHAnsi" w:hAnsiTheme="majorHAnsi" w:cstheme="majorHAnsi"/>
                <w:bCs/>
              </w:rPr>
              <w:t>Veterans</w:t>
            </w:r>
            <w:r w:rsidR="00BA7037">
              <w:rPr>
                <w:rFonts w:asciiTheme="majorHAnsi" w:hAnsiTheme="majorHAnsi" w:cstheme="majorHAnsi"/>
                <w:bCs/>
              </w:rPr>
              <w:t>’</w:t>
            </w:r>
            <w:r w:rsidRPr="002D6470">
              <w:rPr>
                <w:rFonts w:asciiTheme="majorHAnsi" w:hAnsiTheme="majorHAnsi" w:cstheme="majorHAnsi"/>
                <w:bCs/>
              </w:rPr>
              <w:t xml:space="preserve"> Affairs</w:t>
            </w:r>
          </w:p>
        </w:tc>
      </w:tr>
      <w:tr w:rsidR="00CD29BC" w:rsidRPr="002D6470" w14:paraId="0A29D9D4" w14:textId="77777777" w:rsidTr="002D6470">
        <w:tc>
          <w:tcPr>
            <w:tcW w:w="261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29D9D2" w14:textId="77777777" w:rsidR="00CD29BC" w:rsidRPr="002D6470" w:rsidRDefault="00CD29BC" w:rsidP="00E4729D">
            <w:pPr>
              <w:contextualSpacing/>
              <w:rPr>
                <w:rFonts w:asciiTheme="majorHAnsi" w:hAnsiTheme="majorHAnsi" w:cstheme="majorHAnsi"/>
              </w:rPr>
            </w:pPr>
            <w:r w:rsidRPr="002D6470">
              <w:rPr>
                <w:rFonts w:asciiTheme="majorHAnsi" w:hAnsiTheme="majorHAnsi" w:cstheme="majorHAnsi"/>
              </w:rPr>
              <w:t>Agency Mission</w:t>
            </w:r>
          </w:p>
        </w:tc>
        <w:tc>
          <w:tcPr>
            <w:tcW w:w="6847" w:type="dxa"/>
            <w:gridSpan w:val="2"/>
            <w:tcBorders>
              <w:top w:val="single" w:sz="2" w:space="0" w:color="auto"/>
              <w:left w:val="single" w:sz="2" w:space="0" w:color="auto"/>
              <w:bottom w:val="single" w:sz="2" w:space="0" w:color="auto"/>
              <w:right w:val="single" w:sz="2" w:space="0" w:color="auto"/>
            </w:tcBorders>
          </w:tcPr>
          <w:p w14:paraId="0A29D9D3" w14:textId="77777777" w:rsidR="00CD29BC" w:rsidRPr="002D6470" w:rsidRDefault="00CD29BC" w:rsidP="00E4729D">
            <w:pPr>
              <w:autoSpaceDE w:val="0"/>
              <w:autoSpaceDN w:val="0"/>
              <w:adjustRightInd w:val="0"/>
              <w:contextualSpacing/>
              <w:rPr>
                <w:rFonts w:asciiTheme="majorHAnsi" w:hAnsiTheme="majorHAnsi" w:cstheme="majorHAnsi"/>
              </w:rPr>
            </w:pPr>
            <w:r w:rsidRPr="002D6470">
              <w:rPr>
                <w:rFonts w:asciiTheme="majorHAnsi" w:hAnsiTheme="majorHAnsi" w:cstheme="majorHAnsi"/>
                <w:bCs/>
              </w:rPr>
              <w:t>To fulfill President Lincoln’s promise “to care for him who shall have borne the battle, and for his widow, and his orphan” by serving and honoring the men and women who are America’s veterans.</w:t>
            </w:r>
          </w:p>
        </w:tc>
      </w:tr>
      <w:tr w:rsidR="00CD29BC" w:rsidRPr="002D6470" w14:paraId="0A29D9D7" w14:textId="77777777" w:rsidTr="002D6470">
        <w:tc>
          <w:tcPr>
            <w:tcW w:w="261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29D9D5" w14:textId="77777777" w:rsidR="00CD29BC" w:rsidRPr="002D6470" w:rsidRDefault="00CD29BC" w:rsidP="00E4729D">
            <w:pPr>
              <w:contextualSpacing/>
              <w:rPr>
                <w:rFonts w:asciiTheme="majorHAnsi" w:hAnsiTheme="majorHAnsi" w:cstheme="majorHAnsi"/>
              </w:rPr>
            </w:pPr>
            <w:r w:rsidRPr="002D6470">
              <w:rPr>
                <w:rFonts w:asciiTheme="majorHAnsi" w:hAnsiTheme="majorHAnsi" w:cstheme="majorHAnsi"/>
              </w:rPr>
              <w:t>Position Overview</w:t>
            </w:r>
          </w:p>
        </w:tc>
        <w:tc>
          <w:tcPr>
            <w:tcW w:w="6847" w:type="dxa"/>
            <w:gridSpan w:val="2"/>
            <w:tcBorders>
              <w:top w:val="single" w:sz="2" w:space="0" w:color="auto"/>
              <w:left w:val="single" w:sz="2" w:space="0" w:color="auto"/>
              <w:bottom w:val="single" w:sz="2" w:space="0" w:color="auto"/>
              <w:right w:val="single" w:sz="2" w:space="0" w:color="auto"/>
            </w:tcBorders>
          </w:tcPr>
          <w:p w14:paraId="0A29D9D6" w14:textId="77777777" w:rsidR="00CD29BC" w:rsidRPr="002D6470" w:rsidRDefault="00CD29BC" w:rsidP="00E4729D">
            <w:pPr>
              <w:contextualSpacing/>
              <w:rPr>
                <w:rFonts w:asciiTheme="majorHAnsi" w:hAnsiTheme="majorHAnsi" w:cstheme="majorHAnsi"/>
              </w:rPr>
            </w:pPr>
            <w:r w:rsidRPr="002D6470">
              <w:rPr>
                <w:rFonts w:asciiTheme="majorHAnsi" w:hAnsiTheme="majorHAnsi" w:cstheme="majorHAnsi"/>
              </w:rPr>
              <w:t>The General Counsel is the chief legal officer of the Department of Veterans Affairs (VA), and is the final legal authority within the department. General Counsel serves as the principal advisor to the Secretary on legal matters, and provides leadership and direction for the Office of General Counsel (OGC), a major staff office of VA. The General Counsel is responsible for the interpretation of all laws affecting veterans and the department; the review of all regulations, executive orders, proclamations and policies implementing these laws; and for advising and assisting VA officials in taking appropriate legal or preventive actions in matters involving threatened violence, suspected crimes or protection of government personnel or property.</w:t>
            </w:r>
          </w:p>
        </w:tc>
      </w:tr>
      <w:tr w:rsidR="00CD29BC" w:rsidRPr="002D6470" w14:paraId="0A29D9DA" w14:textId="77777777" w:rsidTr="002D6470">
        <w:tc>
          <w:tcPr>
            <w:tcW w:w="261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29D9D8" w14:textId="77777777" w:rsidR="00CD29BC" w:rsidRPr="002D6470" w:rsidRDefault="00CD29BC" w:rsidP="00E4729D">
            <w:pPr>
              <w:contextualSpacing/>
              <w:rPr>
                <w:rFonts w:asciiTheme="majorHAnsi" w:hAnsiTheme="majorHAnsi" w:cstheme="majorHAnsi"/>
              </w:rPr>
            </w:pPr>
            <w:r w:rsidRPr="002D6470">
              <w:rPr>
                <w:rFonts w:asciiTheme="majorHAnsi" w:hAnsiTheme="majorHAnsi" w:cstheme="majorHAnsi"/>
              </w:rPr>
              <w:t>Compensation</w:t>
            </w:r>
          </w:p>
        </w:tc>
        <w:tc>
          <w:tcPr>
            <w:tcW w:w="6847" w:type="dxa"/>
            <w:gridSpan w:val="2"/>
            <w:tcBorders>
              <w:top w:val="single" w:sz="2" w:space="0" w:color="auto"/>
              <w:left w:val="single" w:sz="2" w:space="0" w:color="auto"/>
              <w:bottom w:val="single" w:sz="2" w:space="0" w:color="auto"/>
              <w:right w:val="single" w:sz="2" w:space="0" w:color="auto"/>
            </w:tcBorders>
          </w:tcPr>
          <w:p w14:paraId="0A29D9D9" w14:textId="77777777" w:rsidR="00CD29BC" w:rsidRPr="002D6470" w:rsidRDefault="00CF67BC" w:rsidP="00B633AE">
            <w:pPr>
              <w:contextualSpacing/>
              <w:rPr>
                <w:rFonts w:asciiTheme="majorHAnsi" w:hAnsiTheme="majorHAnsi" w:cstheme="majorHAnsi"/>
                <w:bCs/>
              </w:rPr>
            </w:pPr>
            <w:r w:rsidRPr="002D6470">
              <w:rPr>
                <w:rFonts w:asciiTheme="majorHAnsi" w:hAnsiTheme="majorHAnsi" w:cstheme="majorHAnsi"/>
                <w:bCs/>
              </w:rPr>
              <w:t>Level IV $</w:t>
            </w:r>
            <w:r w:rsidR="00B633AE">
              <w:rPr>
                <w:rFonts w:asciiTheme="majorHAnsi" w:hAnsiTheme="majorHAnsi" w:cstheme="majorHAnsi"/>
                <w:bCs/>
              </w:rPr>
              <w:t>155,500</w:t>
            </w:r>
            <w:r w:rsidR="00CD29BC" w:rsidRPr="002D6470">
              <w:rPr>
                <w:rFonts w:asciiTheme="majorHAnsi" w:hAnsiTheme="majorHAnsi" w:cstheme="majorHAnsi"/>
                <w:bCs/>
              </w:rPr>
              <w:t xml:space="preserve"> (</w:t>
            </w:r>
            <w:r w:rsidR="00CD29BC" w:rsidRPr="002D6470">
              <w:rPr>
                <w:rFonts w:asciiTheme="majorHAnsi" w:hAnsiTheme="majorHAnsi" w:cstheme="majorHAnsi"/>
              </w:rPr>
              <w:t>5 U.S.C. § 5315)</w:t>
            </w:r>
            <w:r w:rsidR="002D6470" w:rsidRPr="002D6470">
              <w:rPr>
                <w:rStyle w:val="EndnoteReference"/>
                <w:rFonts w:asciiTheme="majorHAnsi" w:hAnsiTheme="majorHAnsi" w:cstheme="majorHAnsi"/>
              </w:rPr>
              <w:endnoteReference w:id="1"/>
            </w:r>
          </w:p>
        </w:tc>
      </w:tr>
      <w:tr w:rsidR="00CD29BC" w:rsidRPr="002D6470" w14:paraId="0A29D9DD" w14:textId="77777777" w:rsidTr="002D6470">
        <w:tc>
          <w:tcPr>
            <w:tcW w:w="261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29D9DB" w14:textId="77777777" w:rsidR="00CD29BC" w:rsidRPr="002D6470" w:rsidRDefault="00CD29BC" w:rsidP="00E4729D">
            <w:pPr>
              <w:contextualSpacing/>
              <w:rPr>
                <w:rFonts w:asciiTheme="majorHAnsi" w:hAnsiTheme="majorHAnsi" w:cstheme="majorHAnsi"/>
              </w:rPr>
            </w:pPr>
            <w:r w:rsidRPr="002D6470">
              <w:rPr>
                <w:rFonts w:asciiTheme="majorHAnsi" w:hAnsiTheme="majorHAnsi" w:cstheme="majorHAnsi"/>
              </w:rPr>
              <w:t>Position Reports to</w:t>
            </w:r>
          </w:p>
        </w:tc>
        <w:tc>
          <w:tcPr>
            <w:tcW w:w="6847" w:type="dxa"/>
            <w:gridSpan w:val="2"/>
            <w:tcBorders>
              <w:top w:val="single" w:sz="2" w:space="0" w:color="auto"/>
              <w:left w:val="single" w:sz="2" w:space="0" w:color="auto"/>
              <w:bottom w:val="single" w:sz="2" w:space="0" w:color="auto"/>
              <w:right w:val="single" w:sz="2" w:space="0" w:color="auto"/>
            </w:tcBorders>
          </w:tcPr>
          <w:p w14:paraId="0A29D9DC" w14:textId="77777777" w:rsidR="00CD29BC" w:rsidRPr="002D6470" w:rsidRDefault="00CD29BC" w:rsidP="00E4729D">
            <w:pPr>
              <w:contextualSpacing/>
              <w:rPr>
                <w:rFonts w:asciiTheme="majorHAnsi" w:hAnsiTheme="majorHAnsi" w:cstheme="majorHAnsi"/>
              </w:rPr>
            </w:pPr>
            <w:r w:rsidRPr="002D6470">
              <w:rPr>
                <w:rFonts w:asciiTheme="majorHAnsi" w:hAnsiTheme="majorHAnsi" w:cstheme="majorHAnsi"/>
              </w:rPr>
              <w:t>Secretary of Veterans Affairs</w:t>
            </w:r>
          </w:p>
        </w:tc>
      </w:tr>
      <w:tr w:rsidR="00CD29BC" w:rsidRPr="002D6470" w14:paraId="0A29D9DF" w14:textId="77777777" w:rsidTr="002D6470">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0A29D9DE" w14:textId="77777777" w:rsidR="00CD29BC" w:rsidRPr="002D6470" w:rsidRDefault="00CD29BC" w:rsidP="00E4729D">
            <w:pPr>
              <w:contextualSpacing/>
              <w:jc w:val="center"/>
              <w:rPr>
                <w:rFonts w:asciiTheme="majorHAnsi" w:hAnsiTheme="majorHAnsi" w:cstheme="majorHAnsi"/>
                <w:b/>
              </w:rPr>
            </w:pPr>
            <w:r w:rsidRPr="002D6470">
              <w:rPr>
                <w:rFonts w:asciiTheme="majorHAnsi" w:hAnsiTheme="majorHAnsi" w:cstheme="majorHAnsi"/>
                <w:b/>
              </w:rPr>
              <w:t>RESPONSIBILITIES</w:t>
            </w:r>
          </w:p>
        </w:tc>
      </w:tr>
      <w:tr w:rsidR="00CD29BC" w:rsidRPr="002D6470" w14:paraId="0A29D9E2" w14:textId="77777777" w:rsidTr="002D6470">
        <w:tc>
          <w:tcPr>
            <w:tcW w:w="261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29D9E0" w14:textId="77777777" w:rsidR="00CD29BC" w:rsidRPr="002D6470" w:rsidRDefault="00CD29BC" w:rsidP="00E4729D">
            <w:pPr>
              <w:contextualSpacing/>
              <w:rPr>
                <w:rFonts w:asciiTheme="majorHAnsi" w:hAnsiTheme="majorHAnsi" w:cstheme="majorHAnsi"/>
              </w:rPr>
            </w:pPr>
            <w:r w:rsidRPr="002D6470">
              <w:rPr>
                <w:rFonts w:asciiTheme="majorHAnsi" w:hAnsiTheme="majorHAnsi" w:cstheme="majorHAnsi"/>
              </w:rPr>
              <w:t>Management Scope</w:t>
            </w:r>
          </w:p>
        </w:tc>
        <w:tc>
          <w:tcPr>
            <w:tcW w:w="6847" w:type="dxa"/>
            <w:gridSpan w:val="2"/>
            <w:tcBorders>
              <w:top w:val="single" w:sz="2" w:space="0" w:color="auto"/>
              <w:left w:val="single" w:sz="2" w:space="0" w:color="auto"/>
              <w:bottom w:val="single" w:sz="2" w:space="0" w:color="auto"/>
              <w:right w:val="single" w:sz="2" w:space="0" w:color="auto"/>
            </w:tcBorders>
          </w:tcPr>
          <w:p w14:paraId="0A29D9E1" w14:textId="034C6433" w:rsidR="00CD29BC" w:rsidRPr="002D6470" w:rsidRDefault="002D6470" w:rsidP="00E4729D">
            <w:pPr>
              <w:rPr>
                <w:rFonts w:asciiTheme="majorHAnsi" w:hAnsiTheme="majorHAnsi" w:cstheme="majorHAnsi"/>
              </w:rPr>
            </w:pPr>
            <w:r w:rsidRPr="002D6470">
              <w:rPr>
                <w:rFonts w:asciiTheme="majorHAnsi" w:hAnsiTheme="majorHAnsi" w:cstheme="majorHAnsi"/>
              </w:rPr>
              <w:t xml:space="preserve">The VA is the second-largest federal department and employs more than 340,000 individuals in a nationwide network of 144 medical centers, 1,203 community-based outpatient clinics, 300 vet centers and 56 regional offices. The VA also oversees a network of cemeteries, 131 of them national and 90 of them state or tribal. The VA administers its work through three major organizations: the Veterans Health Administration, the Veterans Benefits Administration and the National Cemetery Administration Services. </w:t>
            </w:r>
            <w:r w:rsidR="00BA7037">
              <w:rPr>
                <w:rFonts w:asciiTheme="majorHAnsi" w:hAnsiTheme="majorHAnsi" w:cstheme="majorHAnsi"/>
              </w:rPr>
              <w:t>The Department of Veterans Affairs’ budget for fiscal 2018 is over $185 billion.</w:t>
            </w:r>
            <w:bookmarkStart w:id="2" w:name="_GoBack"/>
            <w:bookmarkEnd w:id="2"/>
          </w:p>
        </w:tc>
      </w:tr>
      <w:tr w:rsidR="00CD29BC" w:rsidRPr="002D6470" w14:paraId="0A29D9EA" w14:textId="77777777" w:rsidTr="002D6470">
        <w:tc>
          <w:tcPr>
            <w:tcW w:w="261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29D9E3" w14:textId="77777777" w:rsidR="00CD29BC" w:rsidRPr="002D6470" w:rsidRDefault="00CD29BC" w:rsidP="00E4729D">
            <w:pPr>
              <w:contextualSpacing/>
              <w:rPr>
                <w:rFonts w:asciiTheme="majorHAnsi" w:hAnsiTheme="majorHAnsi" w:cstheme="majorHAnsi"/>
              </w:rPr>
            </w:pPr>
            <w:r w:rsidRPr="002D6470">
              <w:rPr>
                <w:rFonts w:asciiTheme="majorHAnsi" w:hAnsiTheme="majorHAnsi" w:cstheme="majorHAnsi"/>
              </w:rPr>
              <w:t>Primary Responsibilities</w:t>
            </w:r>
          </w:p>
        </w:tc>
        <w:tc>
          <w:tcPr>
            <w:tcW w:w="6847" w:type="dxa"/>
            <w:gridSpan w:val="2"/>
            <w:tcBorders>
              <w:top w:val="single" w:sz="2" w:space="0" w:color="auto"/>
              <w:left w:val="single" w:sz="2" w:space="0" w:color="auto"/>
              <w:bottom w:val="single" w:sz="2" w:space="0" w:color="auto"/>
              <w:right w:val="single" w:sz="2" w:space="0" w:color="auto"/>
            </w:tcBorders>
          </w:tcPr>
          <w:p w14:paraId="0A29D9E4" w14:textId="77777777" w:rsidR="00CD29BC" w:rsidRPr="002D6470" w:rsidRDefault="00CD29BC" w:rsidP="00CD29BC">
            <w:pPr>
              <w:numPr>
                <w:ilvl w:val="0"/>
                <w:numId w:val="34"/>
              </w:numPr>
              <w:contextualSpacing/>
              <w:rPr>
                <w:rFonts w:asciiTheme="majorHAnsi" w:hAnsiTheme="majorHAnsi" w:cstheme="majorHAnsi"/>
              </w:rPr>
            </w:pPr>
            <w:r w:rsidRPr="002D6470">
              <w:rPr>
                <w:rFonts w:asciiTheme="majorHAnsi" w:hAnsiTheme="majorHAnsi" w:cstheme="majorHAnsi"/>
              </w:rPr>
              <w:t>Advises the Secretary, Deputy Secretary, Chief of Staff and other senior department officials regarding all laws, regulations, executive orders and judicial precedents pertaining to the department</w:t>
            </w:r>
          </w:p>
          <w:p w14:paraId="0A29D9E5" w14:textId="77777777" w:rsidR="00CD29BC" w:rsidRPr="002D6470" w:rsidRDefault="00CD29BC" w:rsidP="00CD29BC">
            <w:pPr>
              <w:numPr>
                <w:ilvl w:val="0"/>
                <w:numId w:val="34"/>
              </w:numPr>
              <w:contextualSpacing/>
              <w:rPr>
                <w:rFonts w:asciiTheme="majorHAnsi" w:hAnsiTheme="majorHAnsi" w:cstheme="majorHAnsi"/>
              </w:rPr>
            </w:pPr>
            <w:r w:rsidRPr="002D6470">
              <w:rPr>
                <w:rFonts w:asciiTheme="majorHAnsi" w:hAnsiTheme="majorHAnsi" w:cstheme="majorHAnsi"/>
              </w:rPr>
              <w:t>Provides legal advice and guidance to the secretary on draft bills and on testimony for presentation to Congress</w:t>
            </w:r>
          </w:p>
          <w:p w14:paraId="0A29D9E6" w14:textId="77777777" w:rsidR="00CD29BC" w:rsidRPr="002D6470" w:rsidRDefault="00CD29BC" w:rsidP="00CD29BC">
            <w:pPr>
              <w:numPr>
                <w:ilvl w:val="0"/>
                <w:numId w:val="34"/>
              </w:numPr>
              <w:contextualSpacing/>
              <w:rPr>
                <w:rFonts w:asciiTheme="majorHAnsi" w:hAnsiTheme="majorHAnsi" w:cstheme="majorHAnsi"/>
              </w:rPr>
            </w:pPr>
            <w:r w:rsidRPr="002D6470">
              <w:rPr>
                <w:rFonts w:asciiTheme="majorHAnsi" w:hAnsiTheme="majorHAnsi" w:cstheme="majorHAnsi"/>
              </w:rPr>
              <w:t>Accompanies the Secretary and other senior department officials when testifying before Congress</w:t>
            </w:r>
          </w:p>
          <w:p w14:paraId="0A29D9E7" w14:textId="77777777" w:rsidR="00CD29BC" w:rsidRPr="002D6470" w:rsidRDefault="00CD29BC" w:rsidP="00CD29BC">
            <w:pPr>
              <w:numPr>
                <w:ilvl w:val="0"/>
                <w:numId w:val="34"/>
              </w:numPr>
              <w:contextualSpacing/>
              <w:rPr>
                <w:rFonts w:asciiTheme="majorHAnsi" w:hAnsiTheme="majorHAnsi" w:cstheme="majorHAnsi"/>
              </w:rPr>
            </w:pPr>
            <w:r w:rsidRPr="002D6470">
              <w:rPr>
                <w:rFonts w:asciiTheme="majorHAnsi" w:hAnsiTheme="majorHAnsi" w:cstheme="majorHAnsi"/>
              </w:rPr>
              <w:lastRenderedPageBreak/>
              <w:t>Advises the Secretary on department matters being litigated before the Court of Appeals for Veterans Claims, and all other state and federal courts or administrative bodies</w:t>
            </w:r>
          </w:p>
          <w:p w14:paraId="0A29D9E8" w14:textId="77777777" w:rsidR="00CD29BC" w:rsidRPr="002D6470" w:rsidRDefault="00CD29BC" w:rsidP="00CD29BC">
            <w:pPr>
              <w:numPr>
                <w:ilvl w:val="0"/>
                <w:numId w:val="34"/>
              </w:numPr>
              <w:contextualSpacing/>
              <w:rPr>
                <w:rFonts w:asciiTheme="majorHAnsi" w:hAnsiTheme="majorHAnsi" w:cstheme="majorHAnsi"/>
              </w:rPr>
            </w:pPr>
            <w:r w:rsidRPr="002D6470">
              <w:rPr>
                <w:rFonts w:asciiTheme="majorHAnsi" w:hAnsiTheme="majorHAnsi" w:cstheme="majorHAnsi"/>
              </w:rPr>
              <w:t xml:space="preserve">Administers claims arising under the Federal Tort Claims Act </w:t>
            </w:r>
          </w:p>
          <w:p w14:paraId="0A29D9E9" w14:textId="77777777" w:rsidR="00CD29BC" w:rsidRPr="002D6470" w:rsidRDefault="00CD29BC" w:rsidP="00CD29BC">
            <w:pPr>
              <w:numPr>
                <w:ilvl w:val="0"/>
                <w:numId w:val="34"/>
              </w:numPr>
              <w:contextualSpacing/>
              <w:rPr>
                <w:rFonts w:asciiTheme="majorHAnsi" w:hAnsiTheme="majorHAnsi" w:cstheme="majorHAnsi"/>
              </w:rPr>
            </w:pPr>
            <w:r w:rsidRPr="002D6470">
              <w:rPr>
                <w:rFonts w:asciiTheme="majorHAnsi" w:hAnsiTheme="majorHAnsi" w:cstheme="majorHAnsi"/>
              </w:rPr>
              <w:t>Handles legal issues arising from personnel matters</w:t>
            </w:r>
          </w:p>
        </w:tc>
      </w:tr>
      <w:tr w:rsidR="00CD29BC" w:rsidRPr="002D6470" w14:paraId="0A29D9F1" w14:textId="77777777" w:rsidTr="002D6470">
        <w:tc>
          <w:tcPr>
            <w:tcW w:w="261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29D9EB" w14:textId="77777777" w:rsidR="00CD29BC" w:rsidRPr="002D6470" w:rsidRDefault="00CD29BC" w:rsidP="00E4729D">
            <w:pPr>
              <w:contextualSpacing/>
              <w:rPr>
                <w:rFonts w:asciiTheme="majorHAnsi" w:hAnsiTheme="majorHAnsi" w:cstheme="majorHAnsi"/>
              </w:rPr>
            </w:pPr>
            <w:r w:rsidRPr="002D6470">
              <w:rPr>
                <w:rFonts w:asciiTheme="majorHAnsi" w:hAnsiTheme="majorHAnsi" w:cstheme="majorHAnsi"/>
              </w:rPr>
              <w:lastRenderedPageBreak/>
              <w:t>Strategic Goals and Priorities</w:t>
            </w:r>
          </w:p>
        </w:tc>
        <w:tc>
          <w:tcPr>
            <w:tcW w:w="6847" w:type="dxa"/>
            <w:gridSpan w:val="2"/>
            <w:tcBorders>
              <w:top w:val="single" w:sz="2" w:space="0" w:color="auto"/>
              <w:left w:val="single" w:sz="2" w:space="0" w:color="auto"/>
              <w:bottom w:val="single" w:sz="2" w:space="0" w:color="auto"/>
              <w:right w:val="single" w:sz="2" w:space="0" w:color="auto"/>
            </w:tcBorders>
            <w:vAlign w:val="center"/>
          </w:tcPr>
          <w:p w14:paraId="0A29D9EC" w14:textId="77777777" w:rsidR="00CD29BC" w:rsidRPr="002D6470" w:rsidRDefault="00CD29BC" w:rsidP="00E4729D">
            <w:pPr>
              <w:ind w:left="72"/>
              <w:contextualSpacing/>
              <w:jc w:val="center"/>
              <w:rPr>
                <w:rFonts w:asciiTheme="majorHAnsi" w:hAnsiTheme="majorHAnsi" w:cstheme="majorHAnsi"/>
              </w:rPr>
            </w:pPr>
          </w:p>
          <w:p w14:paraId="0A29D9ED" w14:textId="77777777" w:rsidR="00CD29BC" w:rsidRPr="002D6470" w:rsidRDefault="00CD29BC" w:rsidP="00E4729D">
            <w:pPr>
              <w:ind w:left="72"/>
              <w:contextualSpacing/>
              <w:jc w:val="center"/>
              <w:rPr>
                <w:rFonts w:asciiTheme="majorHAnsi" w:hAnsiTheme="majorHAnsi" w:cstheme="majorHAnsi"/>
              </w:rPr>
            </w:pPr>
          </w:p>
          <w:p w14:paraId="0A29D9EE" w14:textId="77777777" w:rsidR="00CD29BC" w:rsidRPr="002D6470" w:rsidRDefault="00CD29BC" w:rsidP="00E4729D">
            <w:pPr>
              <w:ind w:left="72"/>
              <w:contextualSpacing/>
              <w:jc w:val="center"/>
              <w:rPr>
                <w:rFonts w:asciiTheme="majorHAnsi" w:hAnsiTheme="majorHAnsi" w:cstheme="majorHAnsi"/>
              </w:rPr>
            </w:pPr>
            <w:r w:rsidRPr="002D6470">
              <w:rPr>
                <w:rFonts w:asciiTheme="majorHAnsi" w:hAnsiTheme="majorHAnsi" w:cstheme="majorHAnsi"/>
              </w:rPr>
              <w:t>[Depends on the policy priorities of the administration]</w:t>
            </w:r>
          </w:p>
          <w:p w14:paraId="0A29D9EF" w14:textId="77777777" w:rsidR="00CD29BC" w:rsidRPr="002D6470" w:rsidRDefault="00CD29BC" w:rsidP="00E4729D">
            <w:pPr>
              <w:ind w:left="72"/>
              <w:contextualSpacing/>
              <w:jc w:val="center"/>
              <w:rPr>
                <w:rFonts w:asciiTheme="majorHAnsi" w:hAnsiTheme="majorHAnsi" w:cstheme="majorHAnsi"/>
              </w:rPr>
            </w:pPr>
          </w:p>
          <w:p w14:paraId="0A29D9F0" w14:textId="77777777" w:rsidR="00CD29BC" w:rsidRPr="002D6470" w:rsidRDefault="00CD29BC" w:rsidP="00E4729D">
            <w:pPr>
              <w:ind w:left="72"/>
              <w:contextualSpacing/>
              <w:jc w:val="center"/>
              <w:rPr>
                <w:rFonts w:asciiTheme="majorHAnsi" w:hAnsiTheme="majorHAnsi" w:cstheme="majorHAnsi"/>
              </w:rPr>
            </w:pPr>
          </w:p>
        </w:tc>
      </w:tr>
      <w:tr w:rsidR="00CD29BC" w:rsidRPr="002D6470" w14:paraId="0A29D9F3" w14:textId="77777777" w:rsidTr="002D6470">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0A29D9F2" w14:textId="77777777" w:rsidR="00CD29BC" w:rsidRPr="002D6470" w:rsidRDefault="00CD29BC" w:rsidP="00E4729D">
            <w:pPr>
              <w:contextualSpacing/>
              <w:jc w:val="center"/>
              <w:rPr>
                <w:rFonts w:asciiTheme="majorHAnsi" w:hAnsiTheme="majorHAnsi" w:cstheme="majorHAnsi"/>
                <w:b/>
              </w:rPr>
            </w:pPr>
            <w:r w:rsidRPr="002D6470">
              <w:rPr>
                <w:rFonts w:asciiTheme="majorHAnsi" w:hAnsiTheme="majorHAnsi" w:cstheme="majorHAnsi"/>
                <w:b/>
              </w:rPr>
              <w:t>REQUIREMENTS AND COMPETENCIES</w:t>
            </w:r>
          </w:p>
        </w:tc>
      </w:tr>
      <w:tr w:rsidR="00CD29BC" w:rsidRPr="002D6470" w14:paraId="0A29D9FA" w14:textId="77777777" w:rsidTr="002D6470">
        <w:tc>
          <w:tcPr>
            <w:tcW w:w="261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29D9F4" w14:textId="77777777" w:rsidR="00CD29BC" w:rsidRPr="002D6470" w:rsidRDefault="00CD29BC" w:rsidP="00E4729D">
            <w:pPr>
              <w:contextualSpacing/>
              <w:rPr>
                <w:rFonts w:asciiTheme="majorHAnsi" w:hAnsiTheme="majorHAnsi" w:cstheme="majorHAnsi"/>
              </w:rPr>
            </w:pPr>
            <w:r w:rsidRPr="002D6470">
              <w:rPr>
                <w:rFonts w:asciiTheme="majorHAnsi" w:hAnsiTheme="majorHAnsi" w:cstheme="majorHAnsi"/>
              </w:rPr>
              <w:t>Requirements</w:t>
            </w:r>
          </w:p>
        </w:tc>
        <w:tc>
          <w:tcPr>
            <w:tcW w:w="6847" w:type="dxa"/>
            <w:gridSpan w:val="2"/>
            <w:tcBorders>
              <w:top w:val="single" w:sz="2" w:space="0" w:color="auto"/>
              <w:left w:val="single" w:sz="2" w:space="0" w:color="auto"/>
              <w:bottom w:val="single" w:sz="2" w:space="0" w:color="auto"/>
              <w:right w:val="single" w:sz="2" w:space="0" w:color="auto"/>
            </w:tcBorders>
          </w:tcPr>
          <w:p w14:paraId="0A29D9F5" w14:textId="77777777" w:rsidR="00CD29BC" w:rsidRPr="002D6470" w:rsidRDefault="00CD29BC" w:rsidP="00CD29BC">
            <w:pPr>
              <w:numPr>
                <w:ilvl w:val="0"/>
                <w:numId w:val="31"/>
              </w:numPr>
              <w:contextualSpacing/>
              <w:rPr>
                <w:rFonts w:asciiTheme="majorHAnsi" w:hAnsiTheme="majorHAnsi" w:cstheme="majorHAnsi"/>
              </w:rPr>
            </w:pPr>
            <w:r w:rsidRPr="002D6470">
              <w:rPr>
                <w:rFonts w:asciiTheme="majorHAnsi" w:hAnsiTheme="majorHAnsi" w:cstheme="majorHAnsi"/>
              </w:rPr>
              <w:t>Knowledge of joint VA-Department of Defense veteran-related programs and collaborations, as well as the Department of Defense’s TRICARE health care program</w:t>
            </w:r>
          </w:p>
          <w:p w14:paraId="0A29D9F6" w14:textId="77777777" w:rsidR="00CD29BC" w:rsidRPr="002D6470" w:rsidRDefault="00CD29BC" w:rsidP="00CD29BC">
            <w:pPr>
              <w:numPr>
                <w:ilvl w:val="0"/>
                <w:numId w:val="31"/>
              </w:numPr>
              <w:contextualSpacing/>
              <w:rPr>
                <w:rFonts w:asciiTheme="majorHAnsi" w:hAnsiTheme="majorHAnsi" w:cstheme="majorHAnsi"/>
              </w:rPr>
            </w:pPr>
            <w:r w:rsidRPr="002D6470">
              <w:rPr>
                <w:rFonts w:asciiTheme="majorHAnsi" w:hAnsiTheme="majorHAnsi" w:cstheme="majorHAnsi"/>
              </w:rPr>
              <w:t>Knowledge and understanding of VA health care and benefit programs</w:t>
            </w:r>
          </w:p>
          <w:p w14:paraId="0A29D9F7" w14:textId="77777777" w:rsidR="00CD29BC" w:rsidRPr="002D6470" w:rsidRDefault="00CD29BC" w:rsidP="00CD29BC">
            <w:pPr>
              <w:numPr>
                <w:ilvl w:val="0"/>
                <w:numId w:val="31"/>
              </w:numPr>
              <w:contextualSpacing/>
              <w:rPr>
                <w:rFonts w:asciiTheme="majorHAnsi" w:hAnsiTheme="majorHAnsi" w:cstheme="majorHAnsi"/>
              </w:rPr>
            </w:pPr>
            <w:r w:rsidRPr="002D6470">
              <w:rPr>
                <w:rFonts w:asciiTheme="majorHAnsi" w:hAnsiTheme="majorHAnsi" w:cstheme="majorHAnsi"/>
              </w:rPr>
              <w:t>Relationships with and/or understanding of the mission and goals of major national veteran service organizations and national military service organizations</w:t>
            </w:r>
          </w:p>
          <w:p w14:paraId="0A29D9F8" w14:textId="77777777" w:rsidR="00CD29BC" w:rsidRPr="002D6470" w:rsidRDefault="00CD29BC" w:rsidP="00CD29BC">
            <w:pPr>
              <w:numPr>
                <w:ilvl w:val="0"/>
                <w:numId w:val="31"/>
              </w:numPr>
              <w:contextualSpacing/>
              <w:rPr>
                <w:rFonts w:asciiTheme="majorHAnsi" w:hAnsiTheme="majorHAnsi" w:cstheme="majorHAnsi"/>
              </w:rPr>
            </w:pPr>
            <w:r w:rsidRPr="002D6470">
              <w:rPr>
                <w:rFonts w:asciiTheme="majorHAnsi" w:hAnsiTheme="majorHAnsi" w:cstheme="majorHAnsi"/>
              </w:rPr>
              <w:t>Veteran status (preferred)</w:t>
            </w:r>
          </w:p>
          <w:p w14:paraId="0A29D9F9" w14:textId="77777777" w:rsidR="00CD29BC" w:rsidRPr="002D6470" w:rsidRDefault="00CD29BC" w:rsidP="00CD29BC">
            <w:pPr>
              <w:numPr>
                <w:ilvl w:val="0"/>
                <w:numId w:val="31"/>
              </w:numPr>
              <w:contextualSpacing/>
              <w:rPr>
                <w:rFonts w:asciiTheme="majorHAnsi" w:hAnsiTheme="majorHAnsi" w:cstheme="majorHAnsi"/>
              </w:rPr>
            </w:pPr>
            <w:r w:rsidRPr="002D6470">
              <w:rPr>
                <w:rFonts w:asciiTheme="majorHAnsi" w:hAnsiTheme="majorHAnsi" w:cstheme="majorHAnsi"/>
              </w:rPr>
              <w:t>Basic understanding of VA’s interaction with Congress</w:t>
            </w:r>
          </w:p>
        </w:tc>
      </w:tr>
      <w:tr w:rsidR="00CD29BC" w:rsidRPr="002D6470" w14:paraId="0A29D9FE" w14:textId="77777777" w:rsidTr="002D6470">
        <w:tc>
          <w:tcPr>
            <w:tcW w:w="2615"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29D9FB" w14:textId="77777777" w:rsidR="00CD29BC" w:rsidRPr="002D6470" w:rsidRDefault="00CD29BC" w:rsidP="00E4729D">
            <w:pPr>
              <w:contextualSpacing/>
              <w:rPr>
                <w:rFonts w:asciiTheme="majorHAnsi" w:hAnsiTheme="majorHAnsi" w:cstheme="majorHAnsi"/>
              </w:rPr>
            </w:pPr>
            <w:r w:rsidRPr="002D6470">
              <w:rPr>
                <w:rFonts w:asciiTheme="majorHAnsi" w:hAnsiTheme="majorHAnsi" w:cstheme="majorHAnsi"/>
              </w:rPr>
              <w:t>Competencies</w:t>
            </w:r>
          </w:p>
        </w:tc>
        <w:tc>
          <w:tcPr>
            <w:tcW w:w="6847" w:type="dxa"/>
            <w:gridSpan w:val="2"/>
            <w:tcBorders>
              <w:top w:val="single" w:sz="2" w:space="0" w:color="auto"/>
              <w:left w:val="single" w:sz="2" w:space="0" w:color="auto"/>
              <w:bottom w:val="single" w:sz="2" w:space="0" w:color="auto"/>
              <w:right w:val="single" w:sz="2" w:space="0" w:color="auto"/>
            </w:tcBorders>
          </w:tcPr>
          <w:p w14:paraId="0A29D9FC" w14:textId="77777777" w:rsidR="00CD29BC" w:rsidRPr="002D6470" w:rsidRDefault="00CD29BC" w:rsidP="00CD29BC">
            <w:pPr>
              <w:numPr>
                <w:ilvl w:val="0"/>
                <w:numId w:val="32"/>
              </w:numPr>
              <w:contextualSpacing/>
              <w:rPr>
                <w:rFonts w:asciiTheme="majorHAnsi" w:eastAsia="Calibri" w:hAnsiTheme="majorHAnsi" w:cstheme="majorHAnsi"/>
                <w:bCs/>
              </w:rPr>
            </w:pPr>
            <w:r w:rsidRPr="002D6470">
              <w:rPr>
                <w:rFonts w:asciiTheme="majorHAnsi" w:eastAsia="Calibri" w:hAnsiTheme="majorHAnsi" w:cstheme="majorHAnsi"/>
                <w:bCs/>
              </w:rPr>
              <w:t>Strong interpersonal skills; ability to listen to others’ perspectives and ideas and work well across the organization/partner with senior leaders at the VA</w:t>
            </w:r>
          </w:p>
          <w:p w14:paraId="0A29D9FD" w14:textId="77777777" w:rsidR="00CD29BC" w:rsidRPr="002D6470" w:rsidRDefault="00CD29BC" w:rsidP="00CD29BC">
            <w:pPr>
              <w:numPr>
                <w:ilvl w:val="0"/>
                <w:numId w:val="32"/>
              </w:numPr>
              <w:contextualSpacing/>
              <w:rPr>
                <w:rFonts w:asciiTheme="majorHAnsi" w:eastAsia="Calibri" w:hAnsiTheme="majorHAnsi" w:cstheme="majorHAnsi"/>
                <w:bCs/>
              </w:rPr>
            </w:pPr>
            <w:r w:rsidRPr="002D6470">
              <w:rPr>
                <w:rFonts w:asciiTheme="majorHAnsi" w:eastAsia="Calibri" w:hAnsiTheme="majorHAnsi" w:cstheme="majorHAnsi"/>
                <w:bCs/>
              </w:rPr>
              <w:t>A non-adversarial approach</w:t>
            </w:r>
          </w:p>
        </w:tc>
      </w:tr>
      <w:tr w:rsidR="00684398" w:rsidRPr="002D6470" w14:paraId="0A29DA00" w14:textId="77777777" w:rsidTr="002D6470">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0A29D9FF" w14:textId="737AD34F" w:rsidR="00684398" w:rsidRPr="002D6470" w:rsidRDefault="00DD15EF" w:rsidP="00684398">
            <w:pPr>
              <w:jc w:val="center"/>
              <w:rPr>
                <w:rFonts w:asciiTheme="majorHAnsi" w:hAnsiTheme="majorHAnsi" w:cstheme="majorHAnsi"/>
                <w:b/>
              </w:rPr>
            </w:pPr>
            <w:r>
              <w:rPr>
                <w:rFonts w:asciiTheme="majorHAnsi" w:hAnsiTheme="majorHAnsi" w:cstheme="majorHAnsi"/>
                <w:b/>
              </w:rPr>
              <w:t xml:space="preserve">CURRENT AND </w:t>
            </w:r>
            <w:r w:rsidR="00684398" w:rsidRPr="002D6470">
              <w:rPr>
                <w:rFonts w:asciiTheme="majorHAnsi" w:hAnsiTheme="majorHAnsi" w:cstheme="majorHAnsi"/>
                <w:b/>
              </w:rPr>
              <w:t>PAST APPOINTEES</w:t>
            </w:r>
          </w:p>
        </w:tc>
      </w:tr>
      <w:bookmarkEnd w:id="0"/>
      <w:tr w:rsidR="008149B1" w:rsidRPr="002D6470" w14:paraId="0A29DA02" w14:textId="77777777" w:rsidTr="002D6470">
        <w:trPr>
          <w:gridAfter w:val="1"/>
          <w:wAfter w:w="7" w:type="dxa"/>
        </w:trPr>
        <w:tc>
          <w:tcPr>
            <w:tcW w:w="9462" w:type="dxa"/>
            <w:gridSpan w:val="2"/>
          </w:tcPr>
          <w:p w14:paraId="0A29DA01" w14:textId="03213DA2" w:rsidR="008149B1" w:rsidRPr="002D6470" w:rsidRDefault="00DD15EF" w:rsidP="00B96E47">
            <w:pPr>
              <w:contextualSpacing/>
              <w:rPr>
                <w:rFonts w:asciiTheme="majorHAnsi" w:hAnsiTheme="majorHAnsi" w:cstheme="majorHAnsi"/>
              </w:rPr>
            </w:pPr>
            <w:r w:rsidRPr="00DD15EF">
              <w:rPr>
                <w:rFonts w:asciiTheme="majorHAnsi" w:hAnsiTheme="majorHAnsi" w:cstheme="majorHAnsi"/>
              </w:rPr>
              <w:t>James Byrne</w:t>
            </w:r>
            <w:r>
              <w:rPr>
                <w:rFonts w:asciiTheme="majorHAnsi" w:hAnsiTheme="majorHAnsi" w:cstheme="majorHAnsi"/>
              </w:rPr>
              <w:t xml:space="preserve"> (2017 – Present): </w:t>
            </w:r>
            <w:r w:rsidR="00B96E47" w:rsidRPr="00B96E47">
              <w:rPr>
                <w:rFonts w:asciiTheme="majorHAnsi" w:hAnsiTheme="majorHAnsi" w:cstheme="majorHAnsi"/>
              </w:rPr>
              <w:t>Associate General Counsel and Chief Privacy Officer</w:t>
            </w:r>
            <w:r w:rsidR="00B96E47">
              <w:rPr>
                <w:rFonts w:asciiTheme="majorHAnsi" w:hAnsiTheme="majorHAnsi" w:cstheme="majorHAnsi"/>
              </w:rPr>
              <w:t xml:space="preserve">, </w:t>
            </w:r>
            <w:r w:rsidR="00B96E47" w:rsidRPr="00B96E47">
              <w:rPr>
                <w:rFonts w:asciiTheme="majorHAnsi" w:hAnsiTheme="majorHAnsi" w:cstheme="majorHAnsi"/>
              </w:rPr>
              <w:t>Lockheed Martin Corporation</w:t>
            </w:r>
            <w:r w:rsidR="00B96E47">
              <w:rPr>
                <w:rFonts w:asciiTheme="majorHAnsi" w:hAnsiTheme="majorHAnsi" w:cstheme="majorHAnsi"/>
              </w:rPr>
              <w:t xml:space="preserve">; </w:t>
            </w:r>
            <w:r w:rsidR="00B96E47" w:rsidRPr="00B96E47">
              <w:rPr>
                <w:rFonts w:asciiTheme="majorHAnsi" w:hAnsiTheme="majorHAnsi" w:cstheme="majorHAnsi"/>
              </w:rPr>
              <w:t>Senior Executive Service Deputy Special Counsel</w:t>
            </w:r>
            <w:r w:rsidR="00B96E47">
              <w:rPr>
                <w:rFonts w:asciiTheme="majorHAnsi" w:hAnsiTheme="majorHAnsi" w:cstheme="majorHAnsi"/>
              </w:rPr>
              <w:t xml:space="preserve">, </w:t>
            </w:r>
            <w:r w:rsidR="00B96E47" w:rsidRPr="00B96E47">
              <w:rPr>
                <w:rFonts w:asciiTheme="majorHAnsi" w:hAnsiTheme="majorHAnsi" w:cstheme="majorHAnsi"/>
              </w:rPr>
              <w:t>Office of the United States Special Counsel</w:t>
            </w:r>
            <w:r w:rsidR="00B96E47">
              <w:rPr>
                <w:rFonts w:asciiTheme="majorHAnsi" w:hAnsiTheme="majorHAnsi" w:cstheme="majorHAnsi"/>
              </w:rPr>
              <w:t xml:space="preserve">; </w:t>
            </w:r>
            <w:r w:rsidR="00B96E47" w:rsidRPr="00B96E47">
              <w:rPr>
                <w:rFonts w:asciiTheme="majorHAnsi" w:hAnsiTheme="majorHAnsi" w:cstheme="majorHAnsi"/>
              </w:rPr>
              <w:t>General Counsel and Assistant Inspe</w:t>
            </w:r>
            <w:r w:rsidR="00B96E47">
              <w:rPr>
                <w:rFonts w:asciiTheme="majorHAnsi" w:hAnsiTheme="majorHAnsi" w:cstheme="majorHAnsi"/>
              </w:rPr>
              <w:t xml:space="preserve">ctor General for Investigations, </w:t>
            </w:r>
            <w:r w:rsidR="00B96E47" w:rsidRPr="00B96E47">
              <w:rPr>
                <w:rFonts w:asciiTheme="majorHAnsi" w:hAnsiTheme="majorHAnsi" w:cstheme="majorHAnsi"/>
              </w:rPr>
              <w:t>Office of the Special Inspector General for Iraq Reconstruction</w:t>
            </w:r>
            <w:r w:rsidR="00B96E47">
              <w:rPr>
                <w:rFonts w:asciiTheme="majorHAnsi" w:hAnsiTheme="majorHAnsi" w:cstheme="majorHAnsi"/>
              </w:rPr>
              <w:t xml:space="preserve">; </w:t>
            </w:r>
            <w:r w:rsidR="00B96E47" w:rsidRPr="00B96E47">
              <w:rPr>
                <w:rFonts w:asciiTheme="majorHAnsi" w:hAnsiTheme="majorHAnsi" w:cstheme="majorHAnsi"/>
              </w:rPr>
              <w:t>Infantry Officer</w:t>
            </w:r>
            <w:r w:rsidR="00B96E47">
              <w:rPr>
                <w:rFonts w:asciiTheme="majorHAnsi" w:hAnsiTheme="majorHAnsi" w:cstheme="majorHAnsi"/>
              </w:rPr>
              <w:t>, United States Marine Corps</w:t>
            </w:r>
          </w:p>
        </w:tc>
      </w:tr>
      <w:tr w:rsidR="00DD15EF" w:rsidRPr="002D6470" w14:paraId="1F3C9DB4" w14:textId="77777777" w:rsidTr="002D6470">
        <w:trPr>
          <w:gridAfter w:val="1"/>
          <w:wAfter w:w="7" w:type="dxa"/>
        </w:trPr>
        <w:tc>
          <w:tcPr>
            <w:tcW w:w="9462" w:type="dxa"/>
            <w:gridSpan w:val="2"/>
          </w:tcPr>
          <w:p w14:paraId="2A65D22C" w14:textId="5CA024D8" w:rsidR="00DD15EF" w:rsidRPr="002D6470" w:rsidRDefault="00DD15EF" w:rsidP="001B3450">
            <w:pPr>
              <w:contextualSpacing/>
              <w:rPr>
                <w:rFonts w:asciiTheme="majorHAnsi" w:hAnsiTheme="majorHAnsi" w:cstheme="majorHAnsi"/>
              </w:rPr>
            </w:pPr>
            <w:r w:rsidRPr="002D6470">
              <w:rPr>
                <w:rFonts w:asciiTheme="majorHAnsi" w:hAnsiTheme="majorHAnsi" w:cstheme="majorHAnsi"/>
              </w:rPr>
              <w:t xml:space="preserve">Leigh A. Bradley (December 2014 – </w:t>
            </w:r>
            <w:r>
              <w:rPr>
                <w:rFonts w:asciiTheme="majorHAnsi" w:hAnsiTheme="majorHAnsi" w:cstheme="majorHAnsi"/>
              </w:rPr>
              <w:t>2017</w:t>
            </w:r>
            <w:r w:rsidRPr="002D6470">
              <w:rPr>
                <w:rFonts w:asciiTheme="majorHAnsi" w:hAnsiTheme="majorHAnsi" w:cstheme="majorHAnsi"/>
              </w:rPr>
              <w:t>): Director, Department of Defense Standards of Conduct Office; Principal Deputy General Counsel, Department of the Navy; Chief Risk Officer, American Red Cross; Partner, Holland &amp; Knight LLP</w:t>
            </w:r>
          </w:p>
        </w:tc>
      </w:tr>
      <w:tr w:rsidR="008149B1" w:rsidRPr="002D6470" w14:paraId="0A29DA04" w14:textId="77777777" w:rsidTr="002D6470">
        <w:trPr>
          <w:gridAfter w:val="1"/>
          <w:wAfter w:w="7" w:type="dxa"/>
        </w:trPr>
        <w:tc>
          <w:tcPr>
            <w:tcW w:w="9462" w:type="dxa"/>
            <w:gridSpan w:val="2"/>
          </w:tcPr>
          <w:p w14:paraId="0A29DA03" w14:textId="77777777" w:rsidR="008149B1" w:rsidRPr="002D6470" w:rsidRDefault="00CD29BC" w:rsidP="00BC3CF1">
            <w:pPr>
              <w:contextualSpacing/>
              <w:rPr>
                <w:rFonts w:asciiTheme="majorHAnsi" w:hAnsiTheme="majorHAnsi" w:cstheme="majorHAnsi"/>
              </w:rPr>
            </w:pPr>
            <w:r w:rsidRPr="002D6470">
              <w:rPr>
                <w:rFonts w:asciiTheme="majorHAnsi" w:hAnsiTheme="majorHAnsi" w:cstheme="majorHAnsi"/>
              </w:rPr>
              <w:t>Will A. Gunn (June 2009 – July 2014): Principal, The Gunn Law Firm; President &amp; Chief Executive Officer, Boys and Girls Clubs of Greater Washington; Chief Defense Counsel, U.S. Air Force; Executive Officer to the Judge Advocate General, U.S. Air Force</w:t>
            </w:r>
          </w:p>
        </w:tc>
      </w:tr>
      <w:tr w:rsidR="008149B1" w:rsidRPr="002D6470" w14:paraId="0A29DA06" w14:textId="77777777" w:rsidTr="002D6470">
        <w:trPr>
          <w:gridAfter w:val="1"/>
          <w:wAfter w:w="7" w:type="dxa"/>
        </w:trPr>
        <w:tc>
          <w:tcPr>
            <w:tcW w:w="9462" w:type="dxa"/>
            <w:gridSpan w:val="2"/>
          </w:tcPr>
          <w:p w14:paraId="0A29DA05" w14:textId="77777777" w:rsidR="008149B1" w:rsidRPr="002D6470" w:rsidRDefault="00CD29BC" w:rsidP="00BC3CF1">
            <w:pPr>
              <w:contextualSpacing/>
              <w:rPr>
                <w:rFonts w:asciiTheme="majorHAnsi" w:hAnsiTheme="majorHAnsi" w:cstheme="majorHAnsi"/>
              </w:rPr>
            </w:pPr>
            <w:r w:rsidRPr="002D6470">
              <w:rPr>
                <w:rFonts w:asciiTheme="majorHAnsi" w:hAnsiTheme="majorHAnsi" w:cstheme="majorHAnsi"/>
              </w:rPr>
              <w:t xml:space="preserve">Paul J. </w:t>
            </w:r>
            <w:proofErr w:type="spellStart"/>
            <w:r w:rsidRPr="002D6470">
              <w:rPr>
                <w:rFonts w:asciiTheme="majorHAnsi" w:hAnsiTheme="majorHAnsi" w:cstheme="majorHAnsi"/>
              </w:rPr>
              <w:t>Hutter</w:t>
            </w:r>
            <w:proofErr w:type="spellEnd"/>
            <w:r w:rsidRPr="002D6470">
              <w:rPr>
                <w:rFonts w:asciiTheme="majorHAnsi" w:hAnsiTheme="majorHAnsi" w:cstheme="majorHAnsi"/>
              </w:rPr>
              <w:t xml:space="preserve"> (October 2006 – November 2008): Acting Assistant Secretary for Policy and Planning, Department of Veterans Affairs; Acting Assistant Secretary for Human Resources and Administration, Department of Veterans Affairs; Chief Operating Officer, Coalition Provisional Authority (Department of Defense team to transition the interim government in Iraq); Colonel, Army Reserves</w:t>
            </w:r>
          </w:p>
        </w:tc>
      </w:tr>
    </w:tbl>
    <w:p w14:paraId="0A29DA07" w14:textId="77777777" w:rsidR="00051D13" w:rsidRDefault="00051D13" w:rsidP="00051D13">
      <w:pPr>
        <w:pStyle w:val="Heading1"/>
        <w:rPr>
          <w:rFonts w:eastAsia="Times New Roman"/>
          <w:sz w:val="20"/>
          <w:szCs w:val="20"/>
        </w:rPr>
      </w:pPr>
      <w:r>
        <w:rPr>
          <w:rFonts w:eastAsia="Times New Roman"/>
          <w:sz w:val="20"/>
          <w:szCs w:val="20"/>
        </w:rPr>
        <w:lastRenderedPageBreak/>
        <w:t>Endnotes</w:t>
      </w:r>
    </w:p>
    <w:p w14:paraId="0A29DA08" w14:textId="77777777" w:rsidR="00224D1E" w:rsidRPr="002D6470" w:rsidRDefault="00051D13">
      <w:pPr>
        <w:rPr>
          <w:rFonts w:eastAsiaTheme="minorHAnsi"/>
        </w:rPr>
      </w:pPr>
      <w:r>
        <w:rPr>
          <w:rFonts w:ascii="Arial" w:hAnsi="Arial" w:cs="Arial"/>
        </w:rPr>
        <w:t xml:space="preserve">This position description was created with the help of </w:t>
      </w:r>
      <w:proofErr w:type="spellStart"/>
      <w:r>
        <w:rPr>
          <w:rFonts w:ascii="Arial" w:hAnsi="Arial" w:cs="Arial"/>
        </w:rPr>
        <w:t>Heidrick</w:t>
      </w:r>
      <w:proofErr w:type="spellEnd"/>
      <w:r>
        <w:rPr>
          <w:rFonts w:ascii="Arial" w:hAnsi="Arial" w:cs="Arial"/>
        </w:rPr>
        <w:t xml:space="preserve"> &amp; Struggles, a global executive search firm.</w:t>
      </w:r>
    </w:p>
    <w:sectPr w:rsidR="00224D1E" w:rsidRPr="002D6470"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9DA0B" w14:textId="77777777" w:rsidR="00D76FBF" w:rsidRDefault="00D76FBF" w:rsidP="001E22F1">
      <w:r>
        <w:separator/>
      </w:r>
    </w:p>
  </w:endnote>
  <w:endnote w:type="continuationSeparator" w:id="0">
    <w:p w14:paraId="0A29DA0C" w14:textId="77777777" w:rsidR="00D76FBF" w:rsidRDefault="00D76FBF" w:rsidP="001E22F1">
      <w:r>
        <w:continuationSeparator/>
      </w:r>
    </w:p>
  </w:endnote>
  <w:endnote w:id="1">
    <w:p w14:paraId="0A29DA1A" w14:textId="77777777" w:rsidR="002D6470" w:rsidRDefault="002D6470">
      <w:pPr>
        <w:pStyle w:val="EndnoteText"/>
      </w:pPr>
      <w:r>
        <w:rPr>
          <w:rStyle w:val="EndnoteReference"/>
        </w:rPr>
        <w:endnoteRef/>
      </w:r>
      <w:r>
        <w:t xml:space="preserve"> </w:t>
      </w:r>
      <w:r w:rsidR="00B633AE">
        <w:t>The Consolidated Appropriations Act, 2017 (Public Law 115-31, May 5, 2017), contains a provision that continues the freeze on the payable pay rates for certain senior political officials at 2013 levels during calendar year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DA0F"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14:paraId="0A29DA10" w14:textId="77777777"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DA11" w14:textId="77777777"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0A29DA18" wp14:editId="0A29DA19">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0A29DA12" w14:textId="77777777" w:rsidR="00B30DE2" w:rsidRDefault="00B30DE2" w:rsidP="009630CC">
    <w:pPr>
      <w:pStyle w:val="TGAppendixBodyHeaders"/>
      <w:pBdr>
        <w:top w:val="single" w:sz="2" w:space="10" w:color="auto"/>
      </w:pBdr>
      <w:ind w:left="40"/>
      <w:rPr>
        <w:rFonts w:ascii="Arial" w:hAnsi="Arial" w:cs="Arial"/>
      </w:rPr>
    </w:pPr>
  </w:p>
  <w:p w14:paraId="0A29DA13" w14:textId="77777777"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0A29DA14" w14:textId="77777777" w:rsidR="00B30DE2" w:rsidRPr="009630CC" w:rsidRDefault="00B30DE2" w:rsidP="009630CC">
    <w:pPr>
      <w:pStyle w:val="TGAppendixBodyHeaders"/>
      <w:pBdr>
        <w:top w:val="single" w:sz="2" w:space="10" w:color="auto"/>
      </w:pBdr>
      <w:ind w:left="40"/>
      <w:rPr>
        <w:rFonts w:ascii="Arial" w:hAnsi="Arial" w:cs="Arial"/>
      </w:rPr>
    </w:pPr>
  </w:p>
  <w:p w14:paraId="0A29DA15" w14:textId="77777777"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DA17"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9DA09" w14:textId="77777777" w:rsidR="00D76FBF" w:rsidRDefault="00D76FBF" w:rsidP="001E22F1">
      <w:r>
        <w:separator/>
      </w:r>
    </w:p>
  </w:footnote>
  <w:footnote w:type="continuationSeparator" w:id="0">
    <w:p w14:paraId="0A29DA0A" w14:textId="77777777" w:rsidR="00D76FBF" w:rsidRDefault="00D76FBF"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DA0D" w14:textId="77777777" w:rsidR="00B30DE2" w:rsidRPr="00CA0F50" w:rsidRDefault="00782B2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DA0E" w14:textId="77777777"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DA16" w14:textId="77777777"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51D13"/>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3450"/>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D6470"/>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37DE"/>
    <w:rsid w:val="00366270"/>
    <w:rsid w:val="00370ED0"/>
    <w:rsid w:val="00375A18"/>
    <w:rsid w:val="0038078D"/>
    <w:rsid w:val="00386024"/>
    <w:rsid w:val="003910F3"/>
    <w:rsid w:val="0039752D"/>
    <w:rsid w:val="003A0397"/>
    <w:rsid w:val="003A4DD4"/>
    <w:rsid w:val="003A6E33"/>
    <w:rsid w:val="003B6696"/>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33AE"/>
    <w:rsid w:val="00B64A22"/>
    <w:rsid w:val="00B66919"/>
    <w:rsid w:val="00B72A3A"/>
    <w:rsid w:val="00B761F1"/>
    <w:rsid w:val="00B8440A"/>
    <w:rsid w:val="00B85C44"/>
    <w:rsid w:val="00B8737B"/>
    <w:rsid w:val="00B92A39"/>
    <w:rsid w:val="00B96E47"/>
    <w:rsid w:val="00B97B34"/>
    <w:rsid w:val="00BA34BC"/>
    <w:rsid w:val="00BA7037"/>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29BC"/>
    <w:rsid w:val="00CD409E"/>
    <w:rsid w:val="00CF67BC"/>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76FBF"/>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15EF"/>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A29D9CA"/>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0113">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839FC"/>
    <w:rsid w:val="007F38E2"/>
    <w:rsid w:val="00832508"/>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f40142b5-dc02-4243-bb57-e360fa066623"/>
    <ds:schemaRef ds:uri="http://www.w3.org/XML/1998/namespace"/>
  </ds:schemaRefs>
</ds:datastoreItem>
</file>

<file path=customXml/itemProps4.xml><?xml version="1.0" encoding="utf-8"?>
<ds:datastoreItem xmlns:ds="http://schemas.openxmlformats.org/officeDocument/2006/customXml" ds:itemID="{7C788672-D323-43BF-8436-B8D3D34B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4731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Monica Scigliano</cp:lastModifiedBy>
  <cp:revision>2</cp:revision>
  <cp:lastPrinted>2016-07-12T18:00:00Z</cp:lastPrinted>
  <dcterms:created xsi:type="dcterms:W3CDTF">2018-07-23T16:31:00Z</dcterms:created>
  <dcterms:modified xsi:type="dcterms:W3CDTF">2018-07-23T16:31:00Z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