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96F7" w14:textId="77777777" w:rsidR="0035683E" w:rsidRDefault="0035683E" w:rsidP="00D6678C">
      <w:pPr>
        <w:pStyle w:val="paragraph"/>
        <w:spacing w:before="0" w:beforeAutospacing="0" w:after="0" w:afterAutospacing="0"/>
        <w:textAlignment w:val="baseline"/>
        <w:rPr>
          <w:rStyle w:val="normaltextrun"/>
          <w:rFonts w:ascii="Arial" w:hAnsi="Arial" w:cs="Arial"/>
          <w:caps/>
          <w:color w:val="003055"/>
          <w:sz w:val="20"/>
          <w:szCs w:val="20"/>
        </w:rPr>
      </w:pPr>
      <w:bookmarkStart w:id="0" w:name="_Toc143586611"/>
    </w:p>
    <w:p w14:paraId="77B7D41B" w14:textId="3837BAE4" w:rsidR="00D6678C" w:rsidRDefault="00D6678C" w:rsidP="00D6678C">
      <w:pPr>
        <w:pStyle w:val="paragraph"/>
        <w:spacing w:before="0" w:beforeAutospacing="0" w:after="0" w:afterAutospacing="0"/>
        <w:textAlignment w:val="baseline"/>
        <w:rPr>
          <w:rStyle w:val="eop"/>
          <w:rFonts w:ascii="Arial" w:hAnsi="Arial" w:cs="Arial"/>
          <w:b/>
          <w:bCs/>
          <w:caps/>
          <w:color w:val="003055"/>
          <w:sz w:val="20"/>
          <w:szCs w:val="20"/>
        </w:rPr>
      </w:pPr>
      <w:r>
        <w:rPr>
          <w:rStyle w:val="normaltextrun"/>
          <w:rFonts w:ascii="Arial" w:hAnsi="Arial" w:cs="Arial"/>
          <w:caps/>
          <w:color w:val="003055"/>
          <w:sz w:val="20"/>
          <w:szCs w:val="20"/>
        </w:rPr>
        <w:t>POSITION DESCRIPTION</w:t>
      </w:r>
      <w:r>
        <w:rPr>
          <w:rStyle w:val="eop"/>
          <w:rFonts w:ascii="Arial" w:hAnsi="Arial" w:cs="Arial"/>
          <w:b/>
          <w:bCs/>
          <w:caps/>
          <w:color w:val="003055"/>
          <w:sz w:val="20"/>
          <w:szCs w:val="20"/>
        </w:rPr>
        <w:t> </w:t>
      </w:r>
    </w:p>
    <w:p w14:paraId="62510D29" w14:textId="77777777" w:rsidR="00D6678C" w:rsidRDefault="00D6678C" w:rsidP="00D6678C">
      <w:pPr>
        <w:pStyle w:val="paragraph"/>
        <w:spacing w:before="0" w:beforeAutospacing="0" w:after="0" w:afterAutospacing="0"/>
        <w:textAlignment w:val="baseline"/>
        <w:rPr>
          <w:rFonts w:ascii="Segoe UI" w:hAnsi="Segoe UI" w:cs="Segoe UI"/>
          <w:b/>
          <w:bCs/>
          <w:caps/>
          <w:color w:val="003055"/>
          <w:sz w:val="18"/>
          <w:szCs w:val="18"/>
        </w:rPr>
      </w:pPr>
    </w:p>
    <w:p w14:paraId="5A72D9C0" w14:textId="08C262D2" w:rsidR="00D6678C" w:rsidRDefault="00D6678C" w:rsidP="007245B3">
      <w:pPr>
        <w:pStyle w:val="paragraph"/>
        <w:spacing w:before="0" w:beforeAutospacing="0" w:after="0" w:afterAutospacing="0"/>
        <w:jc w:val="both"/>
        <w:textAlignment w:val="baseline"/>
        <w:rPr>
          <w:rStyle w:val="normaltextrun"/>
          <w:rFonts w:ascii="Arial" w:hAnsi="Arial" w:cs="Arial"/>
          <w:b/>
          <w:bCs/>
          <w:caps/>
          <w:color w:val="003055"/>
          <w:sz w:val="26"/>
          <w:szCs w:val="26"/>
        </w:rPr>
      </w:pPr>
      <w:r>
        <w:rPr>
          <w:rStyle w:val="normaltextrun"/>
          <w:rFonts w:ascii="Arial" w:hAnsi="Arial" w:cs="Arial"/>
          <w:b/>
          <w:bCs/>
          <w:caps/>
          <w:color w:val="003055"/>
          <w:sz w:val="26"/>
          <w:szCs w:val="26"/>
        </w:rPr>
        <w:t>unde</w:t>
      </w:r>
      <w:r w:rsidR="00972565">
        <w:rPr>
          <w:rStyle w:val="normaltextrun"/>
          <w:rFonts w:ascii="Arial" w:hAnsi="Arial" w:cs="Arial"/>
          <w:b/>
          <w:bCs/>
          <w:caps/>
          <w:color w:val="003055"/>
          <w:sz w:val="26"/>
          <w:szCs w:val="26"/>
        </w:rPr>
        <w:t>r</w:t>
      </w:r>
      <w:r>
        <w:rPr>
          <w:rStyle w:val="normaltextrun"/>
          <w:rFonts w:ascii="Arial" w:hAnsi="Arial" w:cs="Arial"/>
          <w:b/>
          <w:bCs/>
          <w:caps/>
          <w:color w:val="003055"/>
          <w:sz w:val="26"/>
          <w:szCs w:val="26"/>
        </w:rPr>
        <w:t>secretary for international affairs, department of the treasury</w:t>
      </w:r>
    </w:p>
    <w:p w14:paraId="2B6F68A6" w14:textId="77777777" w:rsidR="00B92E23" w:rsidRPr="00224D1E" w:rsidRDefault="00B92E23" w:rsidP="00661AE5">
      <w:pPr>
        <w:rPr>
          <w:rFonts w:asciiTheme="majorHAnsi" w:hAnsiTheme="majorHAnsi" w:cstheme="maj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14"/>
        <w:gridCol w:w="6848"/>
      </w:tblGrid>
      <w:tr w:rsidR="00B92E23" w:rsidRPr="00D171BE" w14:paraId="7E98F12D" w14:textId="77777777" w:rsidTr="7B0C6AF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C0E6080" w14:textId="77777777" w:rsidR="00B92E23" w:rsidRPr="00D171BE" w:rsidRDefault="00B92E23" w:rsidP="00E4729D">
            <w:pPr>
              <w:contextualSpacing/>
              <w:jc w:val="center"/>
              <w:rPr>
                <w:rFonts w:asciiTheme="majorHAnsi" w:hAnsiTheme="majorHAnsi" w:cstheme="majorHAnsi"/>
                <w:b/>
              </w:rPr>
            </w:pPr>
            <w:r w:rsidRPr="00D171BE">
              <w:rPr>
                <w:rFonts w:asciiTheme="majorHAnsi" w:hAnsiTheme="majorHAnsi" w:cstheme="majorHAnsi"/>
                <w:b/>
              </w:rPr>
              <w:t>OVERVIEW</w:t>
            </w:r>
          </w:p>
        </w:tc>
      </w:tr>
      <w:tr w:rsidR="00B92E23" w:rsidRPr="00D171BE" w14:paraId="4BD8FEFD"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C695417"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Senate Committee</w:t>
            </w:r>
          </w:p>
        </w:tc>
        <w:tc>
          <w:tcPr>
            <w:tcW w:w="6848" w:type="dxa"/>
            <w:tcBorders>
              <w:top w:val="single" w:sz="2" w:space="0" w:color="auto"/>
              <w:left w:val="single" w:sz="2" w:space="0" w:color="auto"/>
              <w:bottom w:val="single" w:sz="2" w:space="0" w:color="auto"/>
              <w:right w:val="single" w:sz="2" w:space="0" w:color="auto"/>
            </w:tcBorders>
          </w:tcPr>
          <w:p w14:paraId="7FCBE339" w14:textId="77777777" w:rsidR="00B92E23" w:rsidRPr="00D171BE" w:rsidRDefault="00B92E23" w:rsidP="00E4729D">
            <w:pPr>
              <w:contextualSpacing/>
              <w:rPr>
                <w:rFonts w:asciiTheme="majorHAnsi" w:hAnsiTheme="majorHAnsi" w:cstheme="majorHAnsi"/>
                <w:bCs/>
              </w:rPr>
            </w:pPr>
            <w:r w:rsidRPr="00D171BE">
              <w:rPr>
                <w:rFonts w:asciiTheme="majorHAnsi" w:hAnsiTheme="majorHAnsi" w:cstheme="majorHAnsi"/>
                <w:bCs/>
              </w:rPr>
              <w:t>Finance</w:t>
            </w:r>
          </w:p>
        </w:tc>
      </w:tr>
      <w:tr w:rsidR="00B92E23" w:rsidRPr="00D171BE" w14:paraId="5953153E"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BAFE5C"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 xml:space="preserve">Agency Mission </w:t>
            </w:r>
          </w:p>
        </w:tc>
        <w:tc>
          <w:tcPr>
            <w:tcW w:w="6848" w:type="dxa"/>
            <w:tcBorders>
              <w:top w:val="single" w:sz="2" w:space="0" w:color="auto"/>
              <w:left w:val="single" w:sz="2" w:space="0" w:color="auto"/>
              <w:bottom w:val="single" w:sz="2" w:space="0" w:color="auto"/>
              <w:right w:val="single" w:sz="2" w:space="0" w:color="auto"/>
            </w:tcBorders>
          </w:tcPr>
          <w:p w14:paraId="46BCF014"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bCs/>
              </w:rPr>
              <w:t>The Treasury Department is the executive agency responsible for promoting economic prosperity and ensuring the financial security of the United States.</w:t>
            </w:r>
          </w:p>
        </w:tc>
      </w:tr>
      <w:tr w:rsidR="00B92E23" w:rsidRPr="00D171BE" w14:paraId="4F7541FA"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362CD87"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 xml:space="preserve">Position Overview </w:t>
            </w:r>
          </w:p>
        </w:tc>
        <w:tc>
          <w:tcPr>
            <w:tcW w:w="6848" w:type="dxa"/>
            <w:tcBorders>
              <w:top w:val="single" w:sz="2" w:space="0" w:color="auto"/>
              <w:left w:val="single" w:sz="2" w:space="0" w:color="auto"/>
              <w:bottom w:val="single" w:sz="2" w:space="0" w:color="auto"/>
              <w:right w:val="single" w:sz="2" w:space="0" w:color="auto"/>
            </w:tcBorders>
          </w:tcPr>
          <w:p w14:paraId="6073A45C"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bCs/>
              </w:rPr>
              <w:t>Treasury's Office of International Affairs protects and supports U.S. economic prosperity by strengthening the external environment for U.S. growth, preventing and mitigating global financial instability, and managing key global financial challenges.​</w:t>
            </w:r>
          </w:p>
        </w:tc>
      </w:tr>
      <w:tr w:rsidR="00B92E23" w:rsidRPr="00D171BE" w14:paraId="7E7D74E7"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070E484" w14:textId="77777777" w:rsidR="00B92E23" w:rsidRPr="00D171BE" w:rsidRDefault="00B92E23" w:rsidP="00E4729D">
            <w:pPr>
              <w:contextualSpacing/>
              <w:rPr>
                <w:rFonts w:asciiTheme="majorHAnsi" w:hAnsiTheme="majorHAnsi" w:cstheme="majorHAnsi"/>
                <w:i/>
              </w:rPr>
            </w:pPr>
            <w:r w:rsidRPr="00D171BE">
              <w:rPr>
                <w:rFonts w:asciiTheme="majorHAnsi" w:hAnsiTheme="majorHAnsi" w:cstheme="majorHAnsi"/>
              </w:rPr>
              <w:t xml:space="preserve">Compensation </w:t>
            </w:r>
          </w:p>
        </w:tc>
        <w:tc>
          <w:tcPr>
            <w:tcW w:w="6848" w:type="dxa"/>
            <w:tcBorders>
              <w:top w:val="single" w:sz="2" w:space="0" w:color="auto"/>
              <w:left w:val="single" w:sz="2" w:space="0" w:color="auto"/>
              <w:bottom w:val="single" w:sz="2" w:space="0" w:color="auto"/>
              <w:right w:val="single" w:sz="2" w:space="0" w:color="auto"/>
            </w:tcBorders>
          </w:tcPr>
          <w:p w14:paraId="65FB8DD8" w14:textId="01131A8E" w:rsidR="00B92E23" w:rsidRPr="00D171BE" w:rsidRDefault="008A24D3" w:rsidP="1D7064F6">
            <w:pPr>
              <w:contextualSpacing/>
              <w:rPr>
                <w:rFonts w:asciiTheme="majorHAnsi" w:hAnsiTheme="majorHAnsi" w:cstheme="majorBidi"/>
              </w:rPr>
            </w:pPr>
            <w:r w:rsidRPr="1D7064F6">
              <w:rPr>
                <w:rFonts w:asciiTheme="majorHAnsi" w:hAnsiTheme="majorHAnsi" w:cstheme="majorBidi"/>
              </w:rPr>
              <w:t>Level III $</w:t>
            </w:r>
            <w:r w:rsidR="004F5208" w:rsidRPr="004F5208">
              <w:rPr>
                <w:rFonts w:asciiTheme="majorHAnsi" w:hAnsiTheme="majorHAnsi" w:cstheme="majorBidi"/>
              </w:rPr>
              <w:t>168,400</w:t>
            </w:r>
            <w:r w:rsidR="004F5208" w:rsidRPr="004F5208">
              <w:rPr>
                <w:rFonts w:asciiTheme="majorHAnsi" w:hAnsiTheme="majorHAnsi" w:cstheme="majorBidi"/>
              </w:rPr>
              <w:t xml:space="preserve"> </w:t>
            </w:r>
            <w:r w:rsidR="00B92E23" w:rsidRPr="1D7064F6">
              <w:rPr>
                <w:rFonts w:asciiTheme="majorHAnsi" w:hAnsiTheme="majorHAnsi" w:cstheme="majorBidi"/>
              </w:rPr>
              <w:t>(5 U.S.C. § 5314)</w:t>
            </w:r>
            <w:r w:rsidR="00D171BE" w:rsidRPr="1D7064F6">
              <w:rPr>
                <w:rStyle w:val="EndnoteReference"/>
                <w:rFonts w:asciiTheme="majorHAnsi" w:hAnsiTheme="majorHAnsi" w:cstheme="majorBidi"/>
              </w:rPr>
              <w:endnoteReference w:id="2"/>
            </w:r>
          </w:p>
        </w:tc>
      </w:tr>
      <w:tr w:rsidR="00B92E23" w:rsidRPr="00D171BE" w14:paraId="0597F39F"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FAAF2A"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Position Reports to</w:t>
            </w:r>
          </w:p>
        </w:tc>
        <w:tc>
          <w:tcPr>
            <w:tcW w:w="6848" w:type="dxa"/>
            <w:tcBorders>
              <w:top w:val="single" w:sz="2" w:space="0" w:color="auto"/>
              <w:left w:val="single" w:sz="2" w:space="0" w:color="auto"/>
              <w:bottom w:val="single" w:sz="2" w:space="0" w:color="auto"/>
              <w:right w:val="single" w:sz="2" w:space="0" w:color="auto"/>
            </w:tcBorders>
          </w:tcPr>
          <w:p w14:paraId="051EB1CF"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Secretary and Deputy Secretary of the Treasury</w:t>
            </w:r>
          </w:p>
        </w:tc>
      </w:tr>
      <w:tr w:rsidR="00B92E23" w:rsidRPr="00D171BE" w14:paraId="432B0B0E" w14:textId="77777777" w:rsidTr="7B0C6AF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169CEB0" w14:textId="77777777" w:rsidR="00B92E23" w:rsidRPr="00D171BE" w:rsidRDefault="00B92E23" w:rsidP="00E4729D">
            <w:pPr>
              <w:contextualSpacing/>
              <w:jc w:val="center"/>
              <w:rPr>
                <w:rFonts w:asciiTheme="majorHAnsi" w:hAnsiTheme="majorHAnsi" w:cstheme="majorHAnsi"/>
                <w:b/>
              </w:rPr>
            </w:pPr>
            <w:r w:rsidRPr="00D171BE">
              <w:rPr>
                <w:rFonts w:asciiTheme="majorHAnsi" w:hAnsiTheme="majorHAnsi" w:cstheme="majorHAnsi"/>
                <w:b/>
              </w:rPr>
              <w:t>RESPONSIBILITIES</w:t>
            </w:r>
          </w:p>
        </w:tc>
      </w:tr>
      <w:tr w:rsidR="00B92E23" w:rsidRPr="00D171BE" w14:paraId="4F9545B6"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553FF1C"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Management Scope</w:t>
            </w:r>
          </w:p>
        </w:tc>
        <w:tc>
          <w:tcPr>
            <w:tcW w:w="6848" w:type="dxa"/>
            <w:tcBorders>
              <w:top w:val="single" w:sz="2" w:space="0" w:color="auto"/>
              <w:left w:val="single" w:sz="2" w:space="0" w:color="auto"/>
              <w:bottom w:val="single" w:sz="2" w:space="0" w:color="auto"/>
              <w:right w:val="single" w:sz="2" w:space="0" w:color="auto"/>
            </w:tcBorders>
          </w:tcPr>
          <w:p w14:paraId="626ECC02" w14:textId="1433018E" w:rsidR="00B92E23" w:rsidRPr="00D171BE" w:rsidRDefault="00B92E23" w:rsidP="1D7064F6">
            <w:pPr>
              <w:ind w:left="40"/>
              <w:rPr>
                <w:rFonts w:asciiTheme="majorHAnsi" w:hAnsiTheme="majorHAnsi" w:cstheme="majorBidi"/>
              </w:rPr>
            </w:pPr>
            <w:r w:rsidRPr="1D7064F6">
              <w:rPr>
                <w:rFonts w:asciiTheme="majorHAnsi" w:hAnsiTheme="majorHAnsi" w:cstheme="majorBidi"/>
              </w:rPr>
              <w:t xml:space="preserve">In fiscal </w:t>
            </w:r>
            <w:r w:rsidR="00EF7DEE" w:rsidRPr="1D7064F6">
              <w:rPr>
                <w:rFonts w:asciiTheme="majorHAnsi" w:hAnsiTheme="majorHAnsi" w:cstheme="majorBidi"/>
              </w:rPr>
              <w:t>2020</w:t>
            </w:r>
            <w:r w:rsidRPr="1D7064F6">
              <w:rPr>
                <w:rFonts w:asciiTheme="majorHAnsi" w:hAnsiTheme="majorHAnsi" w:cstheme="majorBidi"/>
              </w:rPr>
              <w:t xml:space="preserve">, the Department of the Treasury had </w:t>
            </w:r>
            <w:r w:rsidR="004F4A63" w:rsidRPr="1D7064F6">
              <w:rPr>
                <w:rFonts w:asciiTheme="majorHAnsi" w:hAnsiTheme="majorHAnsi" w:cstheme="majorBidi"/>
              </w:rPr>
              <w:t>$</w:t>
            </w:r>
            <w:r w:rsidR="00EF7DEE" w:rsidRPr="1D7064F6">
              <w:rPr>
                <w:rFonts w:asciiTheme="majorHAnsi" w:hAnsiTheme="majorHAnsi" w:cstheme="majorBidi"/>
              </w:rPr>
              <w:t>1,152</w:t>
            </w:r>
            <w:r w:rsidR="004F4A63" w:rsidRPr="1D7064F6">
              <w:rPr>
                <w:rFonts w:asciiTheme="majorHAnsi" w:hAnsiTheme="majorHAnsi" w:cstheme="majorBidi"/>
              </w:rPr>
              <w:t xml:space="preserve"> billion </w:t>
            </w:r>
            <w:r w:rsidRPr="1D7064F6">
              <w:rPr>
                <w:rFonts w:asciiTheme="majorHAnsi" w:hAnsiTheme="majorHAnsi" w:cstheme="majorBidi"/>
              </w:rPr>
              <w:t xml:space="preserve">in outlays and </w:t>
            </w:r>
            <w:r w:rsidR="00EF7DEE" w:rsidRPr="1D7064F6">
              <w:rPr>
                <w:rFonts w:asciiTheme="majorHAnsi" w:hAnsiTheme="majorHAnsi" w:cstheme="majorBidi"/>
              </w:rPr>
              <w:t>84,050</w:t>
            </w:r>
            <w:r w:rsidRPr="1D7064F6">
              <w:rPr>
                <w:rFonts w:asciiTheme="majorHAnsi" w:hAnsiTheme="majorHAnsi" w:cstheme="majorBidi"/>
              </w:rPr>
              <w:t xml:space="preserve"> total employment. The Undersecretary supervises two assistant secretaries—international finance and international markets and development; has oversight over the U.S. representation to international financial institutions and the respective U.S. executive directors (akin to an ambassador) at the IMF, World Bank and the regional development banks; </w:t>
            </w:r>
            <w:r w:rsidR="00D171BE" w:rsidRPr="1D7064F6">
              <w:rPr>
                <w:rFonts w:asciiTheme="majorHAnsi" w:hAnsiTheme="majorHAnsi" w:cstheme="majorBidi"/>
              </w:rPr>
              <w:t xml:space="preserve">and </w:t>
            </w:r>
            <w:r w:rsidRPr="1D7064F6">
              <w:rPr>
                <w:rFonts w:asciiTheme="majorHAnsi" w:hAnsiTheme="majorHAnsi" w:cstheme="majorBidi"/>
              </w:rPr>
              <w:t>has oversight of U.S. financial attaches in 10 countries</w:t>
            </w:r>
            <w:r w:rsidR="00EF7DEE" w:rsidRPr="1D7064F6">
              <w:rPr>
                <w:rFonts w:asciiTheme="majorHAnsi" w:hAnsiTheme="majorHAnsi" w:cstheme="majorBidi"/>
              </w:rPr>
              <w:t>.</w:t>
            </w:r>
          </w:p>
        </w:tc>
      </w:tr>
      <w:tr w:rsidR="00B92E23" w:rsidRPr="00D171BE" w14:paraId="4A8FD591"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CA040EB"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Primary Responsibilities</w:t>
            </w:r>
          </w:p>
        </w:tc>
        <w:tc>
          <w:tcPr>
            <w:tcW w:w="6848" w:type="dxa"/>
            <w:tcBorders>
              <w:top w:val="single" w:sz="2" w:space="0" w:color="auto"/>
              <w:left w:val="single" w:sz="2" w:space="0" w:color="auto"/>
              <w:bottom w:val="single" w:sz="2" w:space="0" w:color="auto"/>
              <w:right w:val="single" w:sz="2" w:space="0" w:color="auto"/>
            </w:tcBorders>
          </w:tcPr>
          <w:p w14:paraId="1AE73D22" w14:textId="51F75F37" w:rsidR="00B92E23" w:rsidRPr="00D171BE" w:rsidRDefault="00B92E23" w:rsidP="1D7064F6">
            <w:pPr>
              <w:numPr>
                <w:ilvl w:val="0"/>
                <w:numId w:val="44"/>
              </w:numPr>
              <w:ind w:left="441"/>
              <w:contextualSpacing/>
              <w:rPr>
                <w:rFonts w:asciiTheme="majorHAnsi" w:eastAsia="Calibri" w:hAnsiTheme="majorHAnsi" w:cstheme="majorBidi"/>
              </w:rPr>
            </w:pPr>
            <w:r w:rsidRPr="1D7064F6">
              <w:rPr>
                <w:rFonts w:asciiTheme="majorHAnsi" w:eastAsia="Calibri" w:hAnsiTheme="majorHAnsi" w:cstheme="majorBidi"/>
              </w:rPr>
              <w:t>Advises on U.S. response to global macroeconomic and financial developments, including debt, currency and energy markets</w:t>
            </w:r>
            <w:r w:rsidR="77BAC73A" w:rsidRPr="1D7064F6">
              <w:rPr>
                <w:rFonts w:asciiTheme="majorHAnsi" w:eastAsia="Calibri" w:hAnsiTheme="majorHAnsi" w:cstheme="majorBidi"/>
              </w:rPr>
              <w:t>.</w:t>
            </w:r>
          </w:p>
          <w:p w14:paraId="3420F8F3" w14:textId="77777777" w:rsidR="00B92E23" w:rsidRPr="00D171BE" w:rsidRDefault="00B92E23" w:rsidP="00B92E23">
            <w:pPr>
              <w:numPr>
                <w:ilvl w:val="0"/>
                <w:numId w:val="44"/>
              </w:numPr>
              <w:ind w:left="441"/>
              <w:contextualSpacing/>
              <w:rPr>
                <w:rFonts w:asciiTheme="majorHAnsi" w:eastAsia="Calibri" w:hAnsiTheme="majorHAnsi" w:cstheme="majorHAnsi"/>
              </w:rPr>
            </w:pPr>
            <w:r w:rsidRPr="00D171BE">
              <w:rPr>
                <w:rFonts w:asciiTheme="majorHAnsi" w:eastAsia="Calibri" w:hAnsiTheme="majorHAnsi" w:cstheme="majorHAnsi"/>
                <w:bCs/>
              </w:rPr>
              <w:t xml:space="preserve">Serves as the lead for the administration on G7 and G20 financial and macroeconomic issues, as well as the lead negotiator for international coordination of financial regulation through the Financial Stability Board (FSB) and the U.S.-EU dialogues. </w:t>
            </w:r>
          </w:p>
          <w:p w14:paraId="6FFB5392" w14:textId="685FA503" w:rsidR="00B92E23" w:rsidRPr="00D171BE" w:rsidRDefault="00B92E23" w:rsidP="1D7064F6">
            <w:pPr>
              <w:numPr>
                <w:ilvl w:val="0"/>
                <w:numId w:val="44"/>
              </w:numPr>
              <w:ind w:left="441"/>
              <w:contextualSpacing/>
              <w:rPr>
                <w:rFonts w:asciiTheme="majorHAnsi" w:eastAsia="Calibri" w:hAnsiTheme="majorHAnsi" w:cstheme="majorBidi"/>
              </w:rPr>
            </w:pPr>
            <w:r w:rsidRPr="1D7064F6">
              <w:rPr>
                <w:rFonts w:asciiTheme="majorHAnsi" w:eastAsia="Calibri" w:hAnsiTheme="majorHAnsi" w:cstheme="majorBidi"/>
              </w:rPr>
              <w:t>Takes the lead on trade and investment negotiations that deal with financial services or capital flows</w:t>
            </w:r>
            <w:r w:rsidR="04C41CC8" w:rsidRPr="1D7064F6">
              <w:rPr>
                <w:rFonts w:asciiTheme="majorHAnsi" w:eastAsia="Calibri" w:hAnsiTheme="majorHAnsi" w:cstheme="majorBidi"/>
              </w:rPr>
              <w:t>.</w:t>
            </w:r>
          </w:p>
          <w:p w14:paraId="17C20B51" w14:textId="05B2E3E1" w:rsidR="00B92E23" w:rsidRPr="00D171BE" w:rsidRDefault="00B92E23" w:rsidP="00B92E23">
            <w:pPr>
              <w:numPr>
                <w:ilvl w:val="0"/>
                <w:numId w:val="44"/>
              </w:numPr>
              <w:ind w:left="441"/>
              <w:contextualSpacing/>
              <w:rPr>
                <w:rFonts w:asciiTheme="majorHAnsi" w:eastAsia="Calibri" w:hAnsiTheme="majorHAnsi" w:cstheme="majorBidi"/>
              </w:rPr>
            </w:pPr>
            <w:r w:rsidRPr="05378E9A">
              <w:rPr>
                <w:rFonts w:asciiTheme="majorHAnsi" w:eastAsia="Calibri" w:hAnsiTheme="majorHAnsi" w:cstheme="majorBidi"/>
              </w:rPr>
              <w:t>Monitors regional macroeconomic and financial developments for Europe, Middle East, Western Hemisphere, Asia and Africa</w:t>
            </w:r>
            <w:r w:rsidR="23467C64" w:rsidRPr="05378E9A">
              <w:rPr>
                <w:rFonts w:asciiTheme="majorHAnsi" w:eastAsia="Calibri" w:hAnsiTheme="majorHAnsi" w:cstheme="majorBidi"/>
              </w:rPr>
              <w:t>.</w:t>
            </w:r>
          </w:p>
          <w:p w14:paraId="0A38DEE6" w14:textId="72E77FB3" w:rsidR="00B92E23" w:rsidRPr="00D171BE" w:rsidRDefault="00B92E23" w:rsidP="1D7064F6">
            <w:pPr>
              <w:numPr>
                <w:ilvl w:val="0"/>
                <w:numId w:val="44"/>
              </w:numPr>
              <w:ind w:left="441"/>
              <w:contextualSpacing/>
              <w:rPr>
                <w:rFonts w:asciiTheme="majorHAnsi" w:eastAsia="Calibri" w:hAnsiTheme="majorHAnsi" w:cstheme="majorBidi"/>
              </w:rPr>
            </w:pPr>
            <w:r w:rsidRPr="1D7064F6">
              <w:rPr>
                <w:rFonts w:asciiTheme="majorHAnsi" w:eastAsia="Calibri" w:hAnsiTheme="majorHAnsi" w:cstheme="majorBidi"/>
              </w:rPr>
              <w:t>Leads bilateral financial/macroeconomic dialogues, particularly with China, India, the EU, Brazil, Mexico, Japan, Afghanistan and the Middle East</w:t>
            </w:r>
            <w:r w:rsidR="48035E91" w:rsidRPr="1D7064F6">
              <w:rPr>
                <w:rFonts w:asciiTheme="majorHAnsi" w:eastAsia="Calibri" w:hAnsiTheme="majorHAnsi" w:cstheme="majorBidi"/>
              </w:rPr>
              <w:t>.</w:t>
            </w:r>
          </w:p>
          <w:p w14:paraId="42CBC112" w14:textId="056D3AD4" w:rsidR="00B92E23" w:rsidRPr="00D171BE" w:rsidRDefault="00B92E23" w:rsidP="1D7064F6">
            <w:pPr>
              <w:numPr>
                <w:ilvl w:val="0"/>
                <w:numId w:val="44"/>
              </w:numPr>
              <w:ind w:left="441"/>
              <w:contextualSpacing/>
              <w:rPr>
                <w:rFonts w:asciiTheme="majorHAnsi" w:eastAsia="Calibri" w:hAnsiTheme="majorHAnsi" w:cstheme="majorBidi"/>
              </w:rPr>
            </w:pPr>
            <w:r w:rsidRPr="1D7064F6">
              <w:rPr>
                <w:rFonts w:asciiTheme="majorHAnsi" w:eastAsia="Calibri" w:hAnsiTheme="majorHAnsi" w:cstheme="majorBidi"/>
              </w:rPr>
              <w:t>Works closely with international financial institutions where the United States is a shareholder such as the IMF, World Bank and Regional Development Banks (Asia, Africa, Latin America, Eastern Europe)</w:t>
            </w:r>
            <w:r w:rsidR="5EAD8BC9" w:rsidRPr="1D7064F6">
              <w:rPr>
                <w:rFonts w:asciiTheme="majorHAnsi" w:eastAsia="Calibri" w:hAnsiTheme="majorHAnsi" w:cstheme="majorBidi"/>
              </w:rPr>
              <w:t>.</w:t>
            </w:r>
          </w:p>
          <w:p w14:paraId="1DBAAD20" w14:textId="53794B21" w:rsidR="00B92E23" w:rsidRPr="00D171BE" w:rsidRDefault="00B92E23" w:rsidP="00B92E23">
            <w:pPr>
              <w:numPr>
                <w:ilvl w:val="0"/>
                <w:numId w:val="44"/>
              </w:numPr>
              <w:ind w:left="441"/>
              <w:contextualSpacing/>
              <w:rPr>
                <w:rFonts w:asciiTheme="majorHAnsi" w:eastAsia="Calibri" w:hAnsiTheme="majorHAnsi" w:cstheme="majorBidi"/>
              </w:rPr>
            </w:pPr>
            <w:r w:rsidRPr="05378E9A">
              <w:rPr>
                <w:rFonts w:asciiTheme="majorHAnsi" w:eastAsia="Calibri" w:hAnsiTheme="majorHAnsi" w:cstheme="majorBidi"/>
              </w:rPr>
              <w:t xml:space="preserve">Sits on the board of </w:t>
            </w:r>
            <w:r w:rsidRPr="05378E9A">
              <w:rPr>
                <w:rFonts w:asciiTheme="majorHAnsi" w:eastAsia="Calibri" w:hAnsiTheme="majorHAnsi" w:cstheme="majorBidi"/>
                <w:lang w:val="en"/>
              </w:rPr>
              <w:t>Overseas Private Investment Corporation</w:t>
            </w:r>
            <w:r w:rsidR="203BA0F5" w:rsidRPr="05378E9A">
              <w:rPr>
                <w:rFonts w:asciiTheme="majorHAnsi" w:eastAsia="Calibri" w:hAnsiTheme="majorHAnsi" w:cstheme="majorBidi"/>
                <w:lang w:val="en"/>
              </w:rPr>
              <w:t>.</w:t>
            </w:r>
          </w:p>
          <w:p w14:paraId="1D907972" w14:textId="77777777" w:rsidR="00B92E23" w:rsidRPr="00D171BE" w:rsidRDefault="00B92E23" w:rsidP="00B92E23">
            <w:pPr>
              <w:numPr>
                <w:ilvl w:val="0"/>
                <w:numId w:val="44"/>
              </w:numPr>
              <w:ind w:left="441"/>
              <w:contextualSpacing/>
              <w:rPr>
                <w:rFonts w:asciiTheme="majorHAnsi" w:eastAsia="Calibri" w:hAnsiTheme="majorHAnsi" w:cstheme="majorHAnsi"/>
              </w:rPr>
            </w:pPr>
            <w:r w:rsidRPr="00D171BE">
              <w:rPr>
                <w:rFonts w:asciiTheme="majorHAnsi" w:eastAsia="Calibri" w:hAnsiTheme="majorHAnsi" w:cstheme="majorHAnsi"/>
              </w:rPr>
              <w:lastRenderedPageBreak/>
              <w:t xml:space="preserve">Chairs the interagency group responsible for examining national security aspects of cross-border investments into the U.S. </w:t>
            </w:r>
          </w:p>
        </w:tc>
      </w:tr>
      <w:tr w:rsidR="00B92E23" w:rsidRPr="00D171BE" w14:paraId="70AD90CF"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B00FCA3"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lastRenderedPageBreak/>
              <w:t>Strategic Goals and Priorities</w:t>
            </w:r>
          </w:p>
        </w:tc>
        <w:tc>
          <w:tcPr>
            <w:tcW w:w="6848" w:type="dxa"/>
            <w:tcBorders>
              <w:top w:val="single" w:sz="2" w:space="0" w:color="auto"/>
              <w:left w:val="single" w:sz="2" w:space="0" w:color="auto"/>
              <w:bottom w:val="single" w:sz="2" w:space="0" w:color="auto"/>
              <w:right w:val="single" w:sz="2" w:space="0" w:color="auto"/>
            </w:tcBorders>
            <w:vAlign w:val="center"/>
          </w:tcPr>
          <w:p w14:paraId="5C751120" w14:textId="7F8EF247" w:rsidR="00B92E23" w:rsidRPr="00D171BE" w:rsidRDefault="00B92E23" w:rsidP="1D7064F6">
            <w:pPr>
              <w:contextualSpacing/>
              <w:jc w:val="center"/>
              <w:rPr>
                <w:rFonts w:asciiTheme="majorHAnsi" w:hAnsiTheme="majorHAnsi" w:cstheme="majorBidi"/>
              </w:rPr>
            </w:pPr>
          </w:p>
          <w:p w14:paraId="121EEA72" w14:textId="54A5F030" w:rsidR="00B92E23" w:rsidRPr="00D171BE" w:rsidRDefault="00B92E23" w:rsidP="1D7064F6">
            <w:pPr>
              <w:ind w:left="72"/>
              <w:contextualSpacing/>
              <w:jc w:val="center"/>
              <w:rPr>
                <w:rFonts w:asciiTheme="majorHAnsi" w:hAnsiTheme="majorHAnsi" w:cstheme="majorBidi"/>
              </w:rPr>
            </w:pPr>
            <w:r w:rsidRPr="1D7064F6">
              <w:rPr>
                <w:rFonts w:asciiTheme="majorHAnsi" w:hAnsiTheme="majorHAnsi" w:cstheme="majorBidi"/>
              </w:rPr>
              <w:t>[Depends on the policy priorities of the administration</w:t>
            </w:r>
            <w:r w:rsidR="152EFC50" w:rsidRPr="1D7064F6">
              <w:rPr>
                <w:rFonts w:asciiTheme="majorHAnsi" w:hAnsiTheme="majorHAnsi" w:cstheme="majorBidi"/>
              </w:rPr>
              <w:t>.</w:t>
            </w:r>
            <w:r w:rsidRPr="1D7064F6">
              <w:rPr>
                <w:rFonts w:asciiTheme="majorHAnsi" w:hAnsiTheme="majorHAnsi" w:cstheme="majorBidi"/>
              </w:rPr>
              <w:t>]</w:t>
            </w:r>
          </w:p>
          <w:p w14:paraId="03370453" w14:textId="7E64B086" w:rsidR="00B92E23" w:rsidRPr="00D171BE" w:rsidRDefault="00B92E23" w:rsidP="1D7064F6">
            <w:pPr>
              <w:contextualSpacing/>
              <w:jc w:val="center"/>
              <w:rPr>
                <w:rFonts w:asciiTheme="majorHAnsi" w:hAnsiTheme="majorHAnsi" w:cstheme="majorBidi"/>
              </w:rPr>
            </w:pPr>
          </w:p>
        </w:tc>
      </w:tr>
      <w:tr w:rsidR="00B92E23" w:rsidRPr="00D171BE" w14:paraId="0A29EA3D" w14:textId="77777777" w:rsidTr="7B0C6AF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D9938EE" w14:textId="77777777" w:rsidR="00B92E23" w:rsidRPr="00D171BE" w:rsidRDefault="00B92E23" w:rsidP="00E4729D">
            <w:pPr>
              <w:contextualSpacing/>
              <w:jc w:val="center"/>
              <w:rPr>
                <w:rFonts w:asciiTheme="majorHAnsi" w:hAnsiTheme="majorHAnsi" w:cstheme="majorHAnsi"/>
                <w:b/>
              </w:rPr>
            </w:pPr>
            <w:r w:rsidRPr="00D171BE">
              <w:rPr>
                <w:rFonts w:asciiTheme="majorHAnsi" w:hAnsiTheme="majorHAnsi" w:cstheme="majorHAnsi"/>
                <w:b/>
              </w:rPr>
              <w:t>REQUIREMENTS AND COMPETENCIES</w:t>
            </w:r>
          </w:p>
        </w:tc>
      </w:tr>
      <w:tr w:rsidR="00B92E23" w:rsidRPr="00D171BE" w14:paraId="69FCB87E"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0BEF98"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Requirements</w:t>
            </w:r>
          </w:p>
        </w:tc>
        <w:tc>
          <w:tcPr>
            <w:tcW w:w="6848" w:type="dxa"/>
            <w:tcBorders>
              <w:top w:val="single" w:sz="2" w:space="0" w:color="auto"/>
              <w:left w:val="single" w:sz="2" w:space="0" w:color="auto"/>
              <w:bottom w:val="single" w:sz="2" w:space="0" w:color="auto"/>
              <w:right w:val="single" w:sz="2" w:space="0" w:color="auto"/>
            </w:tcBorders>
          </w:tcPr>
          <w:p w14:paraId="35F34DFF" w14:textId="0A57FC2B" w:rsidR="00B92E23" w:rsidRPr="00D171BE" w:rsidRDefault="00B92E23" w:rsidP="1D7064F6">
            <w:pPr>
              <w:numPr>
                <w:ilvl w:val="0"/>
                <w:numId w:val="43"/>
              </w:numPr>
              <w:ind w:left="441"/>
              <w:contextualSpacing/>
              <w:rPr>
                <w:rFonts w:asciiTheme="majorHAnsi" w:eastAsia="Calibri" w:hAnsiTheme="majorHAnsi" w:cstheme="majorBidi"/>
              </w:rPr>
            </w:pPr>
            <w:r w:rsidRPr="1D7064F6">
              <w:rPr>
                <w:rFonts w:asciiTheme="majorHAnsi" w:eastAsia="Calibri" w:hAnsiTheme="majorHAnsi" w:cstheme="majorBidi"/>
              </w:rPr>
              <w:t>Understanding of macroeconomic policies and vulnerabilities that can arise, although it is not necessary that the individual be a Ph.D. in economics</w:t>
            </w:r>
            <w:r w:rsidR="17C795D2" w:rsidRPr="1D7064F6">
              <w:rPr>
                <w:rFonts w:asciiTheme="majorHAnsi" w:eastAsia="Calibri" w:hAnsiTheme="majorHAnsi" w:cstheme="majorBidi"/>
              </w:rPr>
              <w:t>.</w:t>
            </w:r>
          </w:p>
          <w:p w14:paraId="5203F6D1" w14:textId="13869C68" w:rsidR="00B92E23" w:rsidRPr="00D171BE" w:rsidRDefault="00B92E23" w:rsidP="1D7064F6">
            <w:pPr>
              <w:numPr>
                <w:ilvl w:val="0"/>
                <w:numId w:val="43"/>
              </w:numPr>
              <w:ind w:left="441"/>
              <w:contextualSpacing/>
              <w:rPr>
                <w:rFonts w:asciiTheme="majorHAnsi" w:eastAsia="Calibri" w:hAnsiTheme="majorHAnsi" w:cstheme="majorBidi"/>
              </w:rPr>
            </w:pPr>
            <w:r w:rsidRPr="1D7064F6">
              <w:rPr>
                <w:rFonts w:asciiTheme="majorHAnsi" w:eastAsia="Calibri" w:hAnsiTheme="majorHAnsi" w:cstheme="majorBidi"/>
              </w:rPr>
              <w:t>Well-versed in international currency, debt markets and banking systems, as well as the financial regulation of individual institutions</w:t>
            </w:r>
            <w:r w:rsidR="2DB3DA74" w:rsidRPr="1D7064F6">
              <w:rPr>
                <w:rFonts w:asciiTheme="majorHAnsi" w:eastAsia="Calibri" w:hAnsiTheme="majorHAnsi" w:cstheme="majorBidi"/>
              </w:rPr>
              <w:t>.</w:t>
            </w:r>
          </w:p>
          <w:p w14:paraId="7D209F31" w14:textId="031DD041" w:rsidR="00B92E23" w:rsidRPr="00D171BE" w:rsidRDefault="00B92E23" w:rsidP="1D7064F6">
            <w:pPr>
              <w:numPr>
                <w:ilvl w:val="0"/>
                <w:numId w:val="43"/>
              </w:numPr>
              <w:ind w:left="441"/>
              <w:contextualSpacing/>
              <w:rPr>
                <w:rFonts w:asciiTheme="majorHAnsi" w:eastAsia="Calibri" w:hAnsiTheme="majorHAnsi" w:cstheme="majorBidi"/>
              </w:rPr>
            </w:pPr>
            <w:r w:rsidRPr="1D7064F6">
              <w:rPr>
                <w:rFonts w:asciiTheme="majorHAnsi" w:eastAsia="Calibri" w:hAnsiTheme="majorHAnsi" w:cstheme="majorBidi"/>
              </w:rPr>
              <w:t>International diplomacy skills and experience</w:t>
            </w:r>
            <w:r w:rsidR="14502EF8" w:rsidRPr="1D7064F6">
              <w:rPr>
                <w:rFonts w:asciiTheme="majorHAnsi" w:eastAsia="Calibri" w:hAnsiTheme="majorHAnsi" w:cstheme="majorBidi"/>
              </w:rPr>
              <w:t>.</w:t>
            </w:r>
          </w:p>
          <w:p w14:paraId="678810E3" w14:textId="1039E3FF" w:rsidR="00B92E23" w:rsidRPr="00D171BE" w:rsidRDefault="00B92E23" w:rsidP="1D7064F6">
            <w:pPr>
              <w:numPr>
                <w:ilvl w:val="0"/>
                <w:numId w:val="43"/>
              </w:numPr>
              <w:ind w:left="441"/>
              <w:contextualSpacing/>
              <w:rPr>
                <w:rFonts w:asciiTheme="majorHAnsi" w:eastAsia="Calibri" w:hAnsiTheme="majorHAnsi" w:cstheme="majorBidi"/>
              </w:rPr>
            </w:pPr>
            <w:r w:rsidRPr="1D7064F6">
              <w:rPr>
                <w:rFonts w:asciiTheme="majorHAnsi" w:eastAsia="Calibri" w:hAnsiTheme="majorHAnsi" w:cstheme="majorBidi"/>
              </w:rPr>
              <w:t>Comfortable serving as the face of the U.S. in the media on international financial and economic issues</w:t>
            </w:r>
            <w:r w:rsidR="14502EF8" w:rsidRPr="1D7064F6">
              <w:rPr>
                <w:rFonts w:asciiTheme="majorHAnsi" w:eastAsia="Calibri" w:hAnsiTheme="majorHAnsi" w:cstheme="majorBidi"/>
              </w:rPr>
              <w:t>.</w:t>
            </w:r>
          </w:p>
        </w:tc>
      </w:tr>
      <w:tr w:rsidR="00B92E23" w:rsidRPr="00D171BE" w14:paraId="6CAB82DE" w14:textId="77777777" w:rsidTr="7B0C6AF0">
        <w:tc>
          <w:tcPr>
            <w:tcW w:w="261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F3EA66C" w14:textId="77777777" w:rsidR="00B92E23" w:rsidRPr="00D171BE" w:rsidRDefault="00B92E23" w:rsidP="00E4729D">
            <w:pPr>
              <w:contextualSpacing/>
              <w:rPr>
                <w:rFonts w:asciiTheme="majorHAnsi" w:hAnsiTheme="majorHAnsi" w:cstheme="majorHAnsi"/>
              </w:rPr>
            </w:pPr>
            <w:r w:rsidRPr="00D171BE">
              <w:rPr>
                <w:rFonts w:asciiTheme="majorHAnsi" w:hAnsiTheme="majorHAnsi" w:cstheme="majorHAnsi"/>
              </w:rPr>
              <w:t>Competencies</w:t>
            </w:r>
          </w:p>
        </w:tc>
        <w:tc>
          <w:tcPr>
            <w:tcW w:w="6848" w:type="dxa"/>
            <w:tcBorders>
              <w:top w:val="single" w:sz="2" w:space="0" w:color="auto"/>
              <w:left w:val="single" w:sz="2" w:space="0" w:color="auto"/>
              <w:bottom w:val="single" w:sz="2" w:space="0" w:color="auto"/>
              <w:right w:val="single" w:sz="2" w:space="0" w:color="auto"/>
            </w:tcBorders>
          </w:tcPr>
          <w:p w14:paraId="41833F3F" w14:textId="1B94B35C" w:rsidR="00B92E23" w:rsidRPr="00D171BE" w:rsidRDefault="00B92E23" w:rsidP="1D7064F6">
            <w:pPr>
              <w:numPr>
                <w:ilvl w:val="0"/>
                <w:numId w:val="32"/>
              </w:numPr>
              <w:ind w:left="441"/>
              <w:contextualSpacing/>
              <w:rPr>
                <w:rFonts w:asciiTheme="majorHAnsi" w:eastAsia="Calibri" w:hAnsiTheme="majorHAnsi" w:cstheme="majorBidi"/>
              </w:rPr>
            </w:pPr>
            <w:r w:rsidRPr="1D7064F6">
              <w:rPr>
                <w:rFonts w:asciiTheme="majorHAnsi" w:eastAsia="Calibri" w:hAnsiTheme="majorHAnsi" w:cstheme="majorBidi"/>
                <w:i/>
                <w:iCs/>
              </w:rPr>
              <w:t xml:space="preserve">Strategic Orientation: </w:t>
            </w:r>
            <w:r w:rsidRPr="1D7064F6">
              <w:rPr>
                <w:rFonts w:asciiTheme="majorHAnsi" w:eastAsia="Calibri" w:hAnsiTheme="majorHAnsi" w:cstheme="majorBidi"/>
              </w:rPr>
              <w:t>demonstrates complex thinking abilities, incorporating both analytical and conceptual abilities to manage and develop plans and strategies</w:t>
            </w:r>
            <w:r w:rsidR="0F97D76D" w:rsidRPr="1D7064F6">
              <w:rPr>
                <w:rFonts w:asciiTheme="majorHAnsi" w:eastAsia="Calibri" w:hAnsiTheme="majorHAnsi" w:cstheme="majorBidi"/>
              </w:rPr>
              <w:t>.</w:t>
            </w:r>
          </w:p>
          <w:p w14:paraId="631E2EB3" w14:textId="65238FA4" w:rsidR="00B92E23" w:rsidRPr="00D171BE" w:rsidRDefault="00B92E23" w:rsidP="1D7064F6">
            <w:pPr>
              <w:numPr>
                <w:ilvl w:val="0"/>
                <w:numId w:val="32"/>
              </w:numPr>
              <w:ind w:left="441"/>
              <w:contextualSpacing/>
              <w:rPr>
                <w:rFonts w:asciiTheme="majorHAnsi" w:eastAsia="Calibri" w:hAnsiTheme="majorHAnsi" w:cstheme="majorBidi"/>
              </w:rPr>
            </w:pPr>
            <w:r w:rsidRPr="1D7064F6">
              <w:rPr>
                <w:rFonts w:asciiTheme="majorHAnsi" w:eastAsia="Calibri" w:hAnsiTheme="majorHAnsi" w:cstheme="majorBidi"/>
                <w:i/>
                <w:iCs/>
              </w:rPr>
              <w:t>Results Orientation:</w:t>
            </w:r>
            <w:r w:rsidRPr="1D7064F6">
              <w:rPr>
                <w:rFonts w:asciiTheme="majorHAnsi" w:eastAsia="Calibri" w:hAnsiTheme="majorHAnsi" w:cstheme="majorBidi"/>
              </w:rPr>
              <w:t xml:space="preserve"> drive for improvement of results demonstrated by a track record of substantially enhancing performance or organizations</w:t>
            </w:r>
            <w:r w:rsidR="7FD4F1E6" w:rsidRPr="1D7064F6">
              <w:rPr>
                <w:rFonts w:asciiTheme="majorHAnsi" w:eastAsia="Calibri" w:hAnsiTheme="majorHAnsi" w:cstheme="majorBidi"/>
              </w:rPr>
              <w:t>.</w:t>
            </w:r>
          </w:p>
          <w:p w14:paraId="17F26890" w14:textId="685541E7" w:rsidR="00B92E23" w:rsidRPr="00D171BE" w:rsidRDefault="00B92E23" w:rsidP="1D7064F6">
            <w:pPr>
              <w:numPr>
                <w:ilvl w:val="0"/>
                <w:numId w:val="32"/>
              </w:numPr>
              <w:ind w:left="441"/>
              <w:contextualSpacing/>
              <w:rPr>
                <w:rFonts w:asciiTheme="majorHAnsi" w:eastAsia="Calibri" w:hAnsiTheme="majorHAnsi" w:cstheme="majorBidi"/>
              </w:rPr>
            </w:pPr>
            <w:r w:rsidRPr="1D7064F6">
              <w:rPr>
                <w:rFonts w:asciiTheme="majorHAnsi" w:eastAsia="Calibri" w:hAnsiTheme="majorHAnsi" w:cstheme="majorBidi"/>
                <w:i/>
                <w:iCs/>
              </w:rPr>
              <w:t>Team Leadership:</w:t>
            </w:r>
            <w:r w:rsidRPr="1D7064F6">
              <w:rPr>
                <w:rFonts w:asciiTheme="majorHAnsi" w:eastAsia="Calibri" w:hAnsiTheme="majorHAnsi" w:cstheme="majorBidi"/>
              </w:rPr>
              <w:t xml:space="preserve"> can focus, align and build effective groups</w:t>
            </w:r>
            <w:r w:rsidR="7AD05A06" w:rsidRPr="1D7064F6">
              <w:rPr>
                <w:rFonts w:asciiTheme="majorHAnsi" w:eastAsia="Calibri" w:hAnsiTheme="majorHAnsi" w:cstheme="majorBidi"/>
              </w:rPr>
              <w:t>.</w:t>
            </w:r>
          </w:p>
          <w:p w14:paraId="49A2267E" w14:textId="148C6874" w:rsidR="00B92E23" w:rsidRPr="00D171BE" w:rsidRDefault="00B92E23" w:rsidP="1D7064F6">
            <w:pPr>
              <w:numPr>
                <w:ilvl w:val="0"/>
                <w:numId w:val="32"/>
              </w:numPr>
              <w:ind w:left="441"/>
              <w:contextualSpacing/>
              <w:rPr>
                <w:rFonts w:asciiTheme="majorHAnsi" w:eastAsia="Calibri" w:hAnsiTheme="majorHAnsi" w:cstheme="majorBidi"/>
              </w:rPr>
            </w:pPr>
            <w:r w:rsidRPr="1D7064F6">
              <w:rPr>
                <w:rFonts w:asciiTheme="majorHAnsi" w:eastAsia="Calibri" w:hAnsiTheme="majorHAnsi" w:cstheme="majorBidi"/>
                <w:i/>
                <w:iCs/>
              </w:rPr>
              <w:t>Collaboration &amp; Influencing:</w:t>
            </w:r>
            <w:r w:rsidRPr="1D7064F6">
              <w:rPr>
                <w:rFonts w:asciiTheme="majorHAnsi" w:eastAsia="Calibri" w:hAnsiTheme="majorHAnsi" w:cstheme="majorBidi"/>
              </w:rPr>
              <w:t xml:space="preserve"> works effectively with peers, partners and others who are not in the line of command</w:t>
            </w:r>
            <w:r w:rsidR="21D00D08" w:rsidRPr="1D7064F6">
              <w:rPr>
                <w:rFonts w:asciiTheme="majorHAnsi" w:eastAsia="Calibri" w:hAnsiTheme="majorHAnsi" w:cstheme="majorBidi"/>
              </w:rPr>
              <w:t>.</w:t>
            </w:r>
          </w:p>
        </w:tc>
      </w:tr>
      <w:tr w:rsidR="00684398" w:rsidRPr="00D171BE" w14:paraId="457E47FC" w14:textId="77777777" w:rsidTr="7B0C6AF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AC8695A" w14:textId="77777777" w:rsidR="00684398" w:rsidRPr="00D171BE" w:rsidRDefault="00684398" w:rsidP="00684398">
            <w:pPr>
              <w:jc w:val="center"/>
              <w:rPr>
                <w:rFonts w:asciiTheme="majorHAnsi" w:hAnsiTheme="majorHAnsi" w:cstheme="majorHAnsi"/>
                <w:b/>
              </w:rPr>
            </w:pPr>
            <w:r w:rsidRPr="00D171BE">
              <w:rPr>
                <w:rFonts w:asciiTheme="majorHAnsi" w:hAnsiTheme="majorHAnsi" w:cstheme="majorHAnsi"/>
                <w:b/>
              </w:rPr>
              <w:t>PAST APPOINTEES</w:t>
            </w:r>
          </w:p>
        </w:tc>
      </w:tr>
      <w:bookmarkEnd w:id="0"/>
      <w:tr w:rsidR="00B92E23" w:rsidRPr="00D171BE" w14:paraId="42521BAA" w14:textId="77777777" w:rsidTr="7B0C6AF0">
        <w:tc>
          <w:tcPr>
            <w:tcW w:w="9462" w:type="dxa"/>
            <w:gridSpan w:val="2"/>
            <w:tcBorders>
              <w:top w:val="single" w:sz="2" w:space="0" w:color="auto"/>
              <w:left w:val="single" w:sz="2" w:space="0" w:color="auto"/>
              <w:bottom w:val="single" w:sz="2" w:space="0" w:color="auto"/>
              <w:right w:val="single" w:sz="2" w:space="0" w:color="auto"/>
            </w:tcBorders>
          </w:tcPr>
          <w:p w14:paraId="189C616C" w14:textId="3F82AF55" w:rsidR="00B92E23" w:rsidRPr="00D171BE" w:rsidRDefault="003843EE" w:rsidP="7B0C6AF0">
            <w:pPr>
              <w:contextualSpacing/>
              <w:rPr>
                <w:rFonts w:asciiTheme="majorHAnsi" w:hAnsiTheme="majorHAnsi" w:cstheme="majorBidi"/>
              </w:rPr>
            </w:pPr>
            <w:r w:rsidRPr="7B0C6AF0">
              <w:rPr>
                <w:rFonts w:asciiTheme="majorHAnsi" w:hAnsiTheme="majorHAnsi" w:cstheme="majorBidi"/>
              </w:rPr>
              <w:t xml:space="preserve">Brent McIntosh (2019 </w:t>
            </w:r>
            <w:r w:rsidR="37A1AAF6" w:rsidRPr="7B0C6AF0">
              <w:rPr>
                <w:rFonts w:asciiTheme="majorHAnsi" w:hAnsiTheme="majorHAnsi" w:cstheme="majorBidi"/>
              </w:rPr>
              <w:t>to</w:t>
            </w:r>
            <w:r w:rsidRPr="7B0C6AF0">
              <w:rPr>
                <w:rFonts w:asciiTheme="majorHAnsi" w:hAnsiTheme="majorHAnsi" w:cstheme="majorBidi"/>
              </w:rPr>
              <w:t xml:space="preserve"> 2021)</w:t>
            </w:r>
            <w:r w:rsidR="3A0DC350" w:rsidRPr="7B0C6AF0">
              <w:rPr>
                <w:rFonts w:asciiTheme="majorHAnsi" w:hAnsiTheme="majorHAnsi" w:cstheme="majorBidi"/>
              </w:rPr>
              <w:t xml:space="preserve"> –</w:t>
            </w:r>
            <w:r w:rsidRPr="7B0C6AF0">
              <w:rPr>
                <w:rFonts w:asciiTheme="majorHAnsi" w:hAnsiTheme="majorHAnsi" w:cstheme="majorBidi"/>
              </w:rPr>
              <w:t xml:space="preserve"> General Counsel, Department of the Treasury; Partner, Sullivan and Cromwell; Deputy Assistant to the President and Deputy Staff Secretary, the White House; Deputy Assistant Attorney General</w:t>
            </w:r>
            <w:r w:rsidR="00D12CED" w:rsidRPr="7B0C6AF0">
              <w:rPr>
                <w:rFonts w:asciiTheme="majorHAnsi" w:hAnsiTheme="majorHAnsi" w:cstheme="majorBidi"/>
              </w:rPr>
              <w:t>, Department of Justice</w:t>
            </w:r>
          </w:p>
        </w:tc>
      </w:tr>
      <w:tr w:rsidR="00B92E23" w:rsidRPr="00D171BE" w14:paraId="7DA87AAC" w14:textId="77777777" w:rsidTr="7B0C6AF0">
        <w:tc>
          <w:tcPr>
            <w:tcW w:w="9462" w:type="dxa"/>
            <w:gridSpan w:val="2"/>
            <w:tcBorders>
              <w:top w:val="single" w:sz="2" w:space="0" w:color="auto"/>
              <w:left w:val="single" w:sz="2" w:space="0" w:color="auto"/>
              <w:bottom w:val="single" w:sz="2" w:space="0" w:color="auto"/>
              <w:right w:val="single" w:sz="2" w:space="0" w:color="auto"/>
            </w:tcBorders>
          </w:tcPr>
          <w:p w14:paraId="62FC21C5" w14:textId="5C58C3A6" w:rsidR="00B92E23" w:rsidRPr="00D171BE" w:rsidRDefault="003843EE" w:rsidP="7B0C6AF0">
            <w:pPr>
              <w:contextualSpacing/>
              <w:rPr>
                <w:rFonts w:asciiTheme="majorHAnsi" w:hAnsiTheme="majorHAnsi" w:cstheme="majorBidi"/>
              </w:rPr>
            </w:pPr>
            <w:r w:rsidRPr="7B0C6AF0">
              <w:rPr>
                <w:rFonts w:asciiTheme="majorHAnsi" w:hAnsiTheme="majorHAnsi" w:cstheme="majorBidi"/>
              </w:rPr>
              <w:t xml:space="preserve">David Malpass (2017 </w:t>
            </w:r>
            <w:r w:rsidR="3285EB60" w:rsidRPr="7B0C6AF0">
              <w:rPr>
                <w:rFonts w:asciiTheme="majorHAnsi" w:hAnsiTheme="majorHAnsi" w:cstheme="majorBidi"/>
              </w:rPr>
              <w:t xml:space="preserve">to </w:t>
            </w:r>
            <w:r w:rsidRPr="7B0C6AF0">
              <w:rPr>
                <w:rFonts w:asciiTheme="majorHAnsi" w:hAnsiTheme="majorHAnsi" w:cstheme="majorBidi"/>
              </w:rPr>
              <w:t>2019)</w:t>
            </w:r>
            <w:r w:rsidR="144BA38A" w:rsidRPr="7B0C6AF0">
              <w:rPr>
                <w:rFonts w:asciiTheme="majorHAnsi" w:hAnsiTheme="majorHAnsi" w:cstheme="majorBidi"/>
              </w:rPr>
              <w:t xml:space="preserve"> –</w:t>
            </w:r>
            <w:r w:rsidRPr="7B0C6AF0">
              <w:rPr>
                <w:rFonts w:asciiTheme="majorHAnsi" w:hAnsiTheme="majorHAnsi" w:cstheme="majorBidi"/>
              </w:rPr>
              <w:t xml:space="preserve"> Senior Economic Advisor, Trump Campaign (2016); CEO, Encima Global; Chief Economist, Bear Stearns</w:t>
            </w:r>
          </w:p>
        </w:tc>
      </w:tr>
      <w:tr w:rsidR="00B162C3" w:rsidRPr="00D171BE" w14:paraId="4BF4FE82" w14:textId="77777777" w:rsidTr="7B0C6AF0">
        <w:tc>
          <w:tcPr>
            <w:tcW w:w="9462" w:type="dxa"/>
            <w:gridSpan w:val="2"/>
            <w:tcBorders>
              <w:top w:val="single" w:sz="2" w:space="0" w:color="auto"/>
              <w:left w:val="single" w:sz="2" w:space="0" w:color="auto"/>
              <w:bottom w:val="single" w:sz="2" w:space="0" w:color="auto"/>
              <w:right w:val="single" w:sz="2" w:space="0" w:color="auto"/>
            </w:tcBorders>
          </w:tcPr>
          <w:p w14:paraId="43771F35" w14:textId="440C641F" w:rsidR="00B162C3" w:rsidRPr="00D171BE" w:rsidRDefault="003843EE" w:rsidP="7B0C6AF0">
            <w:pPr>
              <w:contextualSpacing/>
              <w:rPr>
                <w:rFonts w:asciiTheme="majorHAnsi" w:hAnsiTheme="majorHAnsi" w:cstheme="majorBidi"/>
              </w:rPr>
            </w:pPr>
            <w:r w:rsidRPr="7B0C6AF0">
              <w:rPr>
                <w:rFonts w:asciiTheme="majorHAnsi" w:hAnsiTheme="majorHAnsi" w:cstheme="majorBidi"/>
              </w:rPr>
              <w:t xml:space="preserve">Nathan Sheets (2014 </w:t>
            </w:r>
            <w:r w:rsidR="19D37A25" w:rsidRPr="7B0C6AF0">
              <w:rPr>
                <w:rFonts w:asciiTheme="majorHAnsi" w:hAnsiTheme="majorHAnsi" w:cstheme="majorBidi"/>
              </w:rPr>
              <w:t>to</w:t>
            </w:r>
            <w:r w:rsidRPr="7B0C6AF0">
              <w:rPr>
                <w:rFonts w:asciiTheme="majorHAnsi" w:hAnsiTheme="majorHAnsi" w:cstheme="majorBidi"/>
              </w:rPr>
              <w:t xml:space="preserve"> 2017)</w:t>
            </w:r>
            <w:r w:rsidR="549A0741" w:rsidRPr="7B0C6AF0">
              <w:rPr>
                <w:rFonts w:asciiTheme="majorHAnsi" w:hAnsiTheme="majorHAnsi" w:cstheme="majorBidi"/>
              </w:rPr>
              <w:t xml:space="preserve"> –</w:t>
            </w:r>
            <w:r w:rsidRPr="7B0C6AF0">
              <w:rPr>
                <w:rFonts w:asciiTheme="majorHAnsi" w:hAnsiTheme="majorHAnsi" w:cstheme="majorBidi"/>
              </w:rPr>
              <w:t xml:space="preserve"> Global Head of International Economics</w:t>
            </w:r>
            <w:r w:rsidR="1253FA3A" w:rsidRPr="7B0C6AF0">
              <w:rPr>
                <w:rFonts w:asciiTheme="majorHAnsi" w:hAnsiTheme="majorHAnsi" w:cstheme="majorBidi"/>
              </w:rPr>
              <w:t xml:space="preserve">, </w:t>
            </w:r>
            <w:r w:rsidRPr="7B0C6AF0">
              <w:rPr>
                <w:rFonts w:asciiTheme="majorHAnsi" w:hAnsiTheme="majorHAnsi" w:cstheme="majorBidi"/>
              </w:rPr>
              <w:t>Citigroup; Director of International Finance Divisio</w:t>
            </w:r>
            <w:r w:rsidR="4FA50729" w:rsidRPr="7B0C6AF0">
              <w:rPr>
                <w:rFonts w:asciiTheme="majorHAnsi" w:hAnsiTheme="majorHAnsi" w:cstheme="majorBidi"/>
              </w:rPr>
              <w:t xml:space="preserve">n, </w:t>
            </w:r>
            <w:r w:rsidRPr="7B0C6AF0">
              <w:rPr>
                <w:rFonts w:asciiTheme="majorHAnsi" w:hAnsiTheme="majorHAnsi" w:cstheme="majorBidi"/>
              </w:rPr>
              <w:t xml:space="preserve">Federal Reserve Board </w:t>
            </w:r>
          </w:p>
        </w:tc>
      </w:tr>
    </w:tbl>
    <w:p w14:paraId="10D49B4B" w14:textId="77777777" w:rsidR="0020413B" w:rsidRDefault="0020413B" w:rsidP="0020413B">
      <w:pPr>
        <w:pStyle w:val="Heading1"/>
        <w:rPr>
          <w:rFonts w:eastAsia="Times New Roman"/>
          <w:sz w:val="20"/>
          <w:szCs w:val="20"/>
        </w:rPr>
      </w:pPr>
      <w:r>
        <w:rPr>
          <w:rFonts w:eastAsia="Times New Roman"/>
          <w:sz w:val="20"/>
          <w:szCs w:val="20"/>
        </w:rPr>
        <w:t>Endnotes</w:t>
      </w:r>
    </w:p>
    <w:p w14:paraId="47564C76" w14:textId="77777777" w:rsidR="00224D1E" w:rsidRPr="00D171BE" w:rsidRDefault="0020413B">
      <w:pPr>
        <w:rPr>
          <w:rFonts w:eastAsiaTheme="minorHAnsi"/>
        </w:rPr>
      </w:pPr>
      <w:r>
        <w:rPr>
          <w:rFonts w:ascii="Arial" w:hAnsi="Arial" w:cs="Arial"/>
        </w:rPr>
        <w:t>This position description was created with the help of Egon Zehnder, a global executive search firm.</w:t>
      </w:r>
    </w:p>
    <w:sectPr w:rsidR="00224D1E" w:rsidRPr="00D171BE" w:rsidSect="0006654B">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B87F" w14:textId="77777777" w:rsidR="004B6333" w:rsidRDefault="004B6333" w:rsidP="001E22F1">
      <w:r>
        <w:separator/>
      </w:r>
    </w:p>
  </w:endnote>
  <w:endnote w:type="continuationSeparator" w:id="0">
    <w:p w14:paraId="4C6C5B6D" w14:textId="77777777" w:rsidR="004B6333" w:rsidRDefault="004B6333" w:rsidP="001E22F1">
      <w:r>
        <w:continuationSeparator/>
      </w:r>
    </w:p>
  </w:endnote>
  <w:endnote w:type="continuationNotice" w:id="1">
    <w:p w14:paraId="2DDD4CE8" w14:textId="77777777" w:rsidR="004B6333" w:rsidRDefault="004B6333"/>
  </w:endnote>
  <w:endnote w:id="2">
    <w:p w14:paraId="7F9D7C2B" w14:textId="3FD624E9" w:rsidR="00D171BE" w:rsidRDefault="00D171BE">
      <w:pPr>
        <w:pStyle w:val="EndnoteText"/>
      </w:pPr>
      <w:r>
        <w:rPr>
          <w:rStyle w:val="EndnoteReference"/>
        </w:rPr>
        <w:endnoteRef/>
      </w:r>
      <w:r>
        <w:t xml:space="preserve"> </w:t>
      </w:r>
      <w:r w:rsidR="00572F0E" w:rsidRPr="00572F0E">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FADF"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2B40FDFA"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8075" w14:textId="36D195D1"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D340" w14:textId="4E463FDA" w:rsidR="00B30DE2" w:rsidRPr="00B64A22" w:rsidRDefault="1D7064F6" w:rsidP="1D7064F6">
    <w:pPr>
      <w:pStyle w:val="Footer"/>
      <w:tabs>
        <w:tab w:val="clear" w:pos="4680"/>
      </w:tabs>
      <w:ind w:right="-216"/>
      <w:jc w:val="right"/>
      <w:rPr>
        <w:rFonts w:ascii="Arial" w:eastAsia="Arial" w:hAnsi="Arial" w:cs="Arial"/>
        <w:color w:val="000000"/>
        <w:sz w:val="16"/>
        <w:szCs w:val="16"/>
      </w:rPr>
    </w:pPr>
    <w:r w:rsidRPr="1D7064F6">
      <w:rPr>
        <w:rFonts w:ascii="Arial" w:eastAsia="Arial" w:hAnsi="Arial" w:cs="Arial"/>
        <w:color w:val="000000"/>
        <w:sz w:val="16"/>
        <w:szCs w:val="16"/>
      </w:rPr>
      <w:t>presidentialtransition.org</w:t>
    </w:r>
  </w:p>
  <w:p w14:paraId="3EEEE2A3" w14:textId="566B2CAD" w:rsidR="00B30DE2" w:rsidRPr="00B64A22" w:rsidRDefault="00B30DE2" w:rsidP="1D7064F6">
    <w:pPr>
      <w:pStyle w:val="Footer"/>
      <w:tabs>
        <w:tab w:val="clear" w:pos="4680"/>
      </w:tabs>
      <w:spacing w:line="276" w:lineRule="auto"/>
      <w:ind w:right="-216"/>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53F3" w14:textId="77777777" w:rsidR="004B6333" w:rsidRDefault="004B6333" w:rsidP="001E22F1">
      <w:r>
        <w:separator/>
      </w:r>
    </w:p>
  </w:footnote>
  <w:footnote w:type="continuationSeparator" w:id="0">
    <w:p w14:paraId="7B93B659" w14:textId="77777777" w:rsidR="004B6333" w:rsidRDefault="004B6333" w:rsidP="001E22F1">
      <w:r>
        <w:continuationSeparator/>
      </w:r>
    </w:p>
  </w:footnote>
  <w:footnote w:type="continuationNotice" w:id="1">
    <w:p w14:paraId="3B0DBAAC" w14:textId="77777777" w:rsidR="004B6333" w:rsidRDefault="004B6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CA11" w14:textId="77777777" w:rsidR="00B30DE2" w:rsidRPr="00CA0F50" w:rsidRDefault="004B633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C461" w14:textId="395D05D3" w:rsidR="00B30DE2" w:rsidRPr="00207063" w:rsidRDefault="7B0C6AF0" w:rsidP="7B0C6AF0">
    <w:pPr>
      <w:pStyle w:val="Header"/>
      <w:tabs>
        <w:tab w:val="clear" w:pos="4680"/>
      </w:tabs>
      <w:ind w:left="720"/>
      <w:jc w:val="right"/>
      <w:rPr>
        <w:caps/>
        <w:color w:val="000000"/>
      </w:rPr>
    </w:pPr>
    <w:r w:rsidRPr="7B0C6AF0">
      <w:rPr>
        <w:caps/>
        <w:color w:val="000000"/>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518E" w14:textId="0BC46191" w:rsidR="00B30DE2" w:rsidRPr="004960D6" w:rsidRDefault="05378E9A" w:rsidP="00B64A22">
    <w:pPr>
      <w:pStyle w:val="Header"/>
      <w:tabs>
        <w:tab w:val="clear" w:pos="9360"/>
        <w:tab w:val="right" w:pos="8820"/>
      </w:tabs>
      <w:rPr>
        <w:rFonts w:ascii="Arial" w:hAnsi="Arial"/>
        <w:b/>
        <w:sz w:val="16"/>
        <w:szCs w:val="16"/>
      </w:rPr>
    </w:pPr>
    <w:r>
      <w:rPr>
        <w:noProof/>
      </w:rPr>
      <w:drawing>
        <wp:anchor distT="0" distB="0" distL="114300" distR="114300" simplePos="0" relativeHeight="251660288" behindDoc="0" locked="0" layoutInCell="1" allowOverlap="1" wp14:anchorId="07DFAF6D" wp14:editId="2EB510F1">
          <wp:simplePos x="0" y="0"/>
          <wp:positionH relativeFrom="column">
            <wp:posOffset>-210185</wp:posOffset>
          </wp:positionH>
          <wp:positionV relativeFrom="paragraph">
            <wp:posOffset>0</wp:posOffset>
          </wp:positionV>
          <wp:extent cx="3721608" cy="420624"/>
          <wp:effectExtent l="0" t="0" r="0" b="0"/>
          <wp:wrapSquare wrapText="bothSides"/>
          <wp:docPr id="4388989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21608" cy="420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E6015"/>
    <w:multiLevelType w:val="hybridMultilevel"/>
    <w:tmpl w:val="7C9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5482B"/>
    <w:multiLevelType w:val="hybridMultilevel"/>
    <w:tmpl w:val="B6B6130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2"/>
  </w:num>
  <w:num w:numId="4">
    <w:abstractNumId w:val="43"/>
  </w:num>
  <w:num w:numId="5">
    <w:abstractNumId w:val="5"/>
  </w:num>
  <w:num w:numId="6">
    <w:abstractNumId w:val="39"/>
  </w:num>
  <w:num w:numId="7">
    <w:abstractNumId w:val="4"/>
  </w:num>
  <w:num w:numId="8">
    <w:abstractNumId w:val="34"/>
  </w:num>
  <w:num w:numId="9">
    <w:abstractNumId w:val="15"/>
  </w:num>
  <w:num w:numId="10">
    <w:abstractNumId w:val="6"/>
  </w:num>
  <w:num w:numId="11">
    <w:abstractNumId w:val="14"/>
  </w:num>
  <w:num w:numId="12">
    <w:abstractNumId w:val="25"/>
  </w:num>
  <w:num w:numId="13">
    <w:abstractNumId w:val="23"/>
  </w:num>
  <w:num w:numId="14">
    <w:abstractNumId w:val="27"/>
  </w:num>
  <w:num w:numId="15">
    <w:abstractNumId w:val="31"/>
  </w:num>
  <w:num w:numId="16">
    <w:abstractNumId w:val="1"/>
  </w:num>
  <w:num w:numId="17">
    <w:abstractNumId w:val="20"/>
  </w:num>
  <w:num w:numId="18">
    <w:abstractNumId w:val="38"/>
  </w:num>
  <w:num w:numId="19">
    <w:abstractNumId w:val="8"/>
  </w:num>
  <w:num w:numId="20">
    <w:abstractNumId w:val="30"/>
  </w:num>
  <w:num w:numId="21">
    <w:abstractNumId w:val="35"/>
  </w:num>
  <w:num w:numId="22">
    <w:abstractNumId w:val="10"/>
  </w:num>
  <w:num w:numId="23">
    <w:abstractNumId w:val="7"/>
  </w:num>
  <w:num w:numId="24">
    <w:abstractNumId w:val="36"/>
  </w:num>
  <w:num w:numId="25">
    <w:abstractNumId w:val="13"/>
  </w:num>
  <w:num w:numId="26">
    <w:abstractNumId w:val="2"/>
  </w:num>
  <w:num w:numId="27">
    <w:abstractNumId w:val="21"/>
  </w:num>
  <w:num w:numId="28">
    <w:abstractNumId w:val="18"/>
  </w:num>
  <w:num w:numId="29">
    <w:abstractNumId w:val="22"/>
  </w:num>
  <w:num w:numId="30">
    <w:abstractNumId w:val="33"/>
  </w:num>
  <w:num w:numId="31">
    <w:abstractNumId w:val="41"/>
  </w:num>
  <w:num w:numId="32">
    <w:abstractNumId w:val="42"/>
  </w:num>
  <w:num w:numId="33">
    <w:abstractNumId w:val="9"/>
  </w:num>
  <w:num w:numId="34">
    <w:abstractNumId w:val="0"/>
  </w:num>
  <w:num w:numId="35">
    <w:abstractNumId w:val="32"/>
  </w:num>
  <w:num w:numId="36">
    <w:abstractNumId w:val="24"/>
  </w:num>
  <w:num w:numId="37">
    <w:abstractNumId w:val="26"/>
  </w:num>
  <w:num w:numId="38">
    <w:abstractNumId w:val="19"/>
  </w:num>
  <w:num w:numId="39">
    <w:abstractNumId w:val="28"/>
  </w:num>
  <w:num w:numId="40">
    <w:abstractNumId w:val="16"/>
  </w:num>
  <w:num w:numId="41">
    <w:abstractNumId w:val="37"/>
  </w:num>
  <w:num w:numId="42">
    <w:abstractNumId w:val="17"/>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6654B"/>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412A"/>
    <w:rsid w:val="0016495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413B"/>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5657F"/>
    <w:rsid w:val="0035683E"/>
    <w:rsid w:val="003616AC"/>
    <w:rsid w:val="00366270"/>
    <w:rsid w:val="00370ED0"/>
    <w:rsid w:val="00375A18"/>
    <w:rsid w:val="0038078D"/>
    <w:rsid w:val="003843EE"/>
    <w:rsid w:val="00386024"/>
    <w:rsid w:val="003910F3"/>
    <w:rsid w:val="00392A41"/>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6333"/>
    <w:rsid w:val="004B7829"/>
    <w:rsid w:val="004C0C7A"/>
    <w:rsid w:val="004C0F5B"/>
    <w:rsid w:val="004D09B0"/>
    <w:rsid w:val="004D37D9"/>
    <w:rsid w:val="004D3D04"/>
    <w:rsid w:val="004D6AA7"/>
    <w:rsid w:val="004D7D44"/>
    <w:rsid w:val="004E1C64"/>
    <w:rsid w:val="004E6049"/>
    <w:rsid w:val="004E717F"/>
    <w:rsid w:val="004F21A0"/>
    <w:rsid w:val="004F4242"/>
    <w:rsid w:val="004F4A63"/>
    <w:rsid w:val="004F5208"/>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2F0E"/>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A7632"/>
    <w:rsid w:val="006B0D7D"/>
    <w:rsid w:val="006B379A"/>
    <w:rsid w:val="006B6253"/>
    <w:rsid w:val="006C14EE"/>
    <w:rsid w:val="006C2A1C"/>
    <w:rsid w:val="006E008A"/>
    <w:rsid w:val="006E374B"/>
    <w:rsid w:val="006E50C0"/>
    <w:rsid w:val="006F68A3"/>
    <w:rsid w:val="007043CA"/>
    <w:rsid w:val="0072243C"/>
    <w:rsid w:val="007237FA"/>
    <w:rsid w:val="007245B3"/>
    <w:rsid w:val="00732A91"/>
    <w:rsid w:val="00736EC8"/>
    <w:rsid w:val="00737980"/>
    <w:rsid w:val="00741D94"/>
    <w:rsid w:val="007467DF"/>
    <w:rsid w:val="00756A61"/>
    <w:rsid w:val="00757BC3"/>
    <w:rsid w:val="00760A88"/>
    <w:rsid w:val="00762481"/>
    <w:rsid w:val="0076444F"/>
    <w:rsid w:val="00777220"/>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520"/>
    <w:rsid w:val="0087689B"/>
    <w:rsid w:val="008807E6"/>
    <w:rsid w:val="00883089"/>
    <w:rsid w:val="00883BC8"/>
    <w:rsid w:val="00892EDB"/>
    <w:rsid w:val="0089745E"/>
    <w:rsid w:val="00897ABC"/>
    <w:rsid w:val="008A05DD"/>
    <w:rsid w:val="008A0680"/>
    <w:rsid w:val="008A24D3"/>
    <w:rsid w:val="008A7731"/>
    <w:rsid w:val="008B4697"/>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2565"/>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162C3"/>
    <w:rsid w:val="00B22E7C"/>
    <w:rsid w:val="00B3093B"/>
    <w:rsid w:val="00B30DE2"/>
    <w:rsid w:val="00B30F45"/>
    <w:rsid w:val="00B33201"/>
    <w:rsid w:val="00B33603"/>
    <w:rsid w:val="00B400BE"/>
    <w:rsid w:val="00B609BD"/>
    <w:rsid w:val="00B61EC4"/>
    <w:rsid w:val="00B64A22"/>
    <w:rsid w:val="00B66919"/>
    <w:rsid w:val="00B72A3A"/>
    <w:rsid w:val="00B761F1"/>
    <w:rsid w:val="00B8440A"/>
    <w:rsid w:val="00B85C44"/>
    <w:rsid w:val="00B8737B"/>
    <w:rsid w:val="00B92A39"/>
    <w:rsid w:val="00B92E23"/>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4FA6"/>
    <w:rsid w:val="00C866F7"/>
    <w:rsid w:val="00C87AFC"/>
    <w:rsid w:val="00C90AD7"/>
    <w:rsid w:val="00C94E0B"/>
    <w:rsid w:val="00CA0F50"/>
    <w:rsid w:val="00CA6785"/>
    <w:rsid w:val="00CA7EB8"/>
    <w:rsid w:val="00CC2512"/>
    <w:rsid w:val="00CC416B"/>
    <w:rsid w:val="00CD14D0"/>
    <w:rsid w:val="00CD409E"/>
    <w:rsid w:val="00D00C94"/>
    <w:rsid w:val="00D05ABC"/>
    <w:rsid w:val="00D05B58"/>
    <w:rsid w:val="00D1037C"/>
    <w:rsid w:val="00D12CED"/>
    <w:rsid w:val="00D137F7"/>
    <w:rsid w:val="00D1473D"/>
    <w:rsid w:val="00D171BE"/>
    <w:rsid w:val="00D201D5"/>
    <w:rsid w:val="00D258E9"/>
    <w:rsid w:val="00D33A2A"/>
    <w:rsid w:val="00D35718"/>
    <w:rsid w:val="00D40AC5"/>
    <w:rsid w:val="00D43B6D"/>
    <w:rsid w:val="00D51191"/>
    <w:rsid w:val="00D56177"/>
    <w:rsid w:val="00D60729"/>
    <w:rsid w:val="00D62EE5"/>
    <w:rsid w:val="00D6678C"/>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1703"/>
    <w:rsid w:val="00EB20A7"/>
    <w:rsid w:val="00EC2402"/>
    <w:rsid w:val="00EC429B"/>
    <w:rsid w:val="00EC4FDB"/>
    <w:rsid w:val="00ED52F5"/>
    <w:rsid w:val="00ED5B9E"/>
    <w:rsid w:val="00EE58CC"/>
    <w:rsid w:val="00EF11FF"/>
    <w:rsid w:val="00EF6FAB"/>
    <w:rsid w:val="00EF7DEE"/>
    <w:rsid w:val="00F1221F"/>
    <w:rsid w:val="00F12A7D"/>
    <w:rsid w:val="00F22F02"/>
    <w:rsid w:val="00F24186"/>
    <w:rsid w:val="00F24A4E"/>
    <w:rsid w:val="00F25BCA"/>
    <w:rsid w:val="00F316F1"/>
    <w:rsid w:val="00F436CE"/>
    <w:rsid w:val="00F51D84"/>
    <w:rsid w:val="00F62141"/>
    <w:rsid w:val="00F64F23"/>
    <w:rsid w:val="00F67CCF"/>
    <w:rsid w:val="00F71BC1"/>
    <w:rsid w:val="00F82EF1"/>
    <w:rsid w:val="00F84D65"/>
    <w:rsid w:val="00F906D0"/>
    <w:rsid w:val="00F9394B"/>
    <w:rsid w:val="00F956B4"/>
    <w:rsid w:val="00FA4096"/>
    <w:rsid w:val="00FA58FD"/>
    <w:rsid w:val="00FB1139"/>
    <w:rsid w:val="00FB2965"/>
    <w:rsid w:val="00FB79A0"/>
    <w:rsid w:val="00FC0DC5"/>
    <w:rsid w:val="00FC2B6A"/>
    <w:rsid w:val="00FC3EDE"/>
    <w:rsid w:val="04C41CC8"/>
    <w:rsid w:val="05378E9A"/>
    <w:rsid w:val="0F97D76D"/>
    <w:rsid w:val="1253FA3A"/>
    <w:rsid w:val="144BA38A"/>
    <w:rsid w:val="14502EF8"/>
    <w:rsid w:val="152EFC50"/>
    <w:rsid w:val="17C795D2"/>
    <w:rsid w:val="19D37A25"/>
    <w:rsid w:val="1D7064F6"/>
    <w:rsid w:val="203BA0F5"/>
    <w:rsid w:val="215F23E9"/>
    <w:rsid w:val="21D00D08"/>
    <w:rsid w:val="23467C64"/>
    <w:rsid w:val="2BF2A5E5"/>
    <w:rsid w:val="2C818AF6"/>
    <w:rsid w:val="2DB3DA74"/>
    <w:rsid w:val="3285EB60"/>
    <w:rsid w:val="37A1AAF6"/>
    <w:rsid w:val="3A0DC350"/>
    <w:rsid w:val="42B910AB"/>
    <w:rsid w:val="430EDDCA"/>
    <w:rsid w:val="48035E91"/>
    <w:rsid w:val="4B996051"/>
    <w:rsid w:val="4FA50729"/>
    <w:rsid w:val="549A0741"/>
    <w:rsid w:val="58D30D4D"/>
    <w:rsid w:val="5EAD8BC9"/>
    <w:rsid w:val="5FF96D02"/>
    <w:rsid w:val="77BAC73A"/>
    <w:rsid w:val="7AD05A06"/>
    <w:rsid w:val="7B0C6AF0"/>
    <w:rsid w:val="7DC8AE6A"/>
    <w:rsid w:val="7FD4F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172D7"/>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paragraph" w:customStyle="1" w:styleId="paragraph">
    <w:name w:val="paragraph"/>
    <w:basedOn w:val="Normal"/>
    <w:rsid w:val="00D6678C"/>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6678C"/>
  </w:style>
  <w:style w:type="character" w:customStyle="1" w:styleId="eop">
    <w:name w:val="eop"/>
    <w:basedOn w:val="DefaultParagraphFont"/>
    <w:rsid w:val="00D6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4532647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0D2715"/>
    <w:rsid w:val="001A441D"/>
    <w:rsid w:val="001C76A9"/>
    <w:rsid w:val="001E4D58"/>
    <w:rsid w:val="004A3FB6"/>
    <w:rsid w:val="00577376"/>
    <w:rsid w:val="005B3992"/>
    <w:rsid w:val="005E0102"/>
    <w:rsid w:val="005E3561"/>
    <w:rsid w:val="00672DF4"/>
    <w:rsid w:val="006A4F09"/>
    <w:rsid w:val="007F38E2"/>
    <w:rsid w:val="008638AA"/>
    <w:rsid w:val="0087154F"/>
    <w:rsid w:val="008B6263"/>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C4C103BA-F8C0-4E2D-80CD-BFF52D251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B4C60410-530F-4291-AA41-DF77673F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20</cp:revision>
  <cp:lastPrinted>2016-07-12T18:00:00Z</cp:lastPrinted>
  <dcterms:created xsi:type="dcterms:W3CDTF">2021-02-24T20:11:00Z</dcterms:created>
  <dcterms:modified xsi:type="dcterms:W3CDTF">2021-05-03T14:15:00Z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