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323D1E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</w:t>
      </w:r>
      <w:r w:rsidR="00973632">
        <w:t>hief Counsel of the</w:t>
      </w:r>
      <w:r>
        <w:t xml:space="preserve"> Internal Revenue Service</w:t>
      </w:r>
      <w:r w:rsidR="00D56177">
        <w:rPr>
          <w:rFonts w:asciiTheme="majorHAnsi" w:hAnsiTheme="majorHAnsi" w:cstheme="majorHAnsi"/>
          <w:szCs w:val="26"/>
        </w:rPr>
        <w:t>, Department</w:t>
      </w:r>
      <w:r w:rsidR="00801DF9">
        <w:rPr>
          <w:rFonts w:asciiTheme="majorHAnsi" w:hAnsiTheme="majorHAnsi" w:cstheme="majorHAnsi"/>
          <w:szCs w:val="26"/>
        </w:rPr>
        <w:t xml:space="preserve"> of the treasury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2A097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2A097A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A097A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2A097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2A097A" w:rsidRDefault="000E0157" w:rsidP="004E1C64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 xml:space="preserve">Senate </w:t>
            </w:r>
            <w:r w:rsidR="00B92A39" w:rsidRPr="002A097A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2A097A" w:rsidRDefault="00735F5B" w:rsidP="00B30C4A">
            <w:pPr>
              <w:rPr>
                <w:rFonts w:asciiTheme="majorHAnsi" w:hAnsiTheme="majorHAnsi" w:cstheme="majorHAnsi"/>
                <w:bCs/>
              </w:rPr>
            </w:pPr>
            <w:r w:rsidRPr="002A097A">
              <w:rPr>
                <w:rFonts w:asciiTheme="majorHAnsi" w:hAnsiTheme="majorHAnsi" w:cstheme="majorHAnsi"/>
                <w:bCs/>
              </w:rPr>
              <w:t>Finance</w:t>
            </w:r>
          </w:p>
        </w:tc>
      </w:tr>
      <w:tr w:rsidR="00661AE5" w:rsidRPr="002A097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A097A" w:rsidRDefault="003910F3" w:rsidP="004E1C64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2A097A" w:rsidRDefault="00A51FA1" w:rsidP="00D33A2A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The Treasury Department is the executive agency responsible for promoting economic prosperity and ensuring the financial security of the United States.</w:t>
            </w:r>
          </w:p>
        </w:tc>
      </w:tr>
      <w:tr w:rsidR="00661AE5" w:rsidRPr="002A097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A097A" w:rsidRDefault="00661AE5" w:rsidP="004E1C64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A097A" w:rsidRDefault="00132A48" w:rsidP="00FA462B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The Office of Chief Coun</w:t>
            </w:r>
            <w:r w:rsidR="003B16F9" w:rsidRPr="002A097A">
              <w:rPr>
                <w:rFonts w:asciiTheme="majorHAnsi" w:hAnsiTheme="majorHAnsi" w:cstheme="majorHAnsi"/>
              </w:rPr>
              <w:t xml:space="preserve">sel provides advice to the </w:t>
            </w:r>
            <w:r w:rsidR="00973632" w:rsidRPr="002A097A">
              <w:rPr>
                <w:rFonts w:asciiTheme="majorHAnsi" w:hAnsiTheme="majorHAnsi" w:cstheme="majorHAnsi"/>
              </w:rPr>
              <w:t>Internal Revenue Service (</w:t>
            </w:r>
            <w:r w:rsidR="003B16F9" w:rsidRPr="002A097A">
              <w:rPr>
                <w:rFonts w:asciiTheme="majorHAnsi" w:hAnsiTheme="majorHAnsi" w:cstheme="majorHAnsi"/>
              </w:rPr>
              <w:t>IRS</w:t>
            </w:r>
            <w:r w:rsidR="00973632" w:rsidRPr="002A097A">
              <w:rPr>
                <w:rFonts w:asciiTheme="majorHAnsi" w:hAnsiTheme="majorHAnsi" w:cstheme="majorHAnsi"/>
              </w:rPr>
              <w:t>)</w:t>
            </w:r>
            <w:r w:rsidR="003B16F9" w:rsidRPr="002A097A">
              <w:rPr>
                <w:rFonts w:asciiTheme="majorHAnsi" w:hAnsiTheme="majorHAnsi" w:cstheme="majorHAnsi"/>
              </w:rPr>
              <w:t xml:space="preserve"> c</w:t>
            </w:r>
            <w:r w:rsidRPr="002A097A">
              <w:rPr>
                <w:rFonts w:asciiTheme="majorHAnsi" w:hAnsiTheme="majorHAnsi" w:cstheme="majorHAnsi"/>
              </w:rPr>
              <w:t xml:space="preserve">ommissioner on all matters pertaining to the interpretation, administration and enforcement of the </w:t>
            </w:r>
            <w:r w:rsidR="00FA462B" w:rsidRPr="002A097A">
              <w:rPr>
                <w:rFonts w:asciiTheme="majorHAnsi" w:hAnsiTheme="majorHAnsi" w:cstheme="majorHAnsi"/>
              </w:rPr>
              <w:t xml:space="preserve">tax </w:t>
            </w:r>
            <w:r w:rsidR="00973632" w:rsidRPr="002A097A">
              <w:rPr>
                <w:rFonts w:asciiTheme="majorHAnsi" w:hAnsiTheme="majorHAnsi" w:cstheme="majorHAnsi"/>
              </w:rPr>
              <w:t>laws;</w:t>
            </w:r>
            <w:r w:rsidRPr="002A097A">
              <w:rPr>
                <w:rFonts w:asciiTheme="majorHAnsi" w:hAnsiTheme="majorHAnsi" w:cstheme="majorHAnsi"/>
              </w:rPr>
              <w:t xml:space="preserve"> r</w:t>
            </w:r>
            <w:r w:rsidR="004E1A0F" w:rsidRPr="002A097A">
              <w:rPr>
                <w:rFonts w:asciiTheme="majorHAnsi" w:hAnsiTheme="majorHAnsi" w:cstheme="majorHAnsi"/>
              </w:rPr>
              <w:t>epresents the IRS in litigation</w:t>
            </w:r>
            <w:r w:rsidR="00973632" w:rsidRPr="002A097A">
              <w:rPr>
                <w:rFonts w:asciiTheme="majorHAnsi" w:hAnsiTheme="majorHAnsi" w:cstheme="majorHAnsi"/>
              </w:rPr>
              <w:t>;</w:t>
            </w:r>
            <w:r w:rsidRPr="002A097A">
              <w:rPr>
                <w:rFonts w:asciiTheme="majorHAnsi" w:hAnsiTheme="majorHAnsi" w:cstheme="majorHAnsi"/>
              </w:rPr>
              <w:t xml:space="preserve"> and provides all other legal support </w:t>
            </w:r>
            <w:r w:rsidR="00801CC4" w:rsidRPr="002A097A">
              <w:rPr>
                <w:rFonts w:asciiTheme="majorHAnsi" w:hAnsiTheme="majorHAnsi" w:cstheme="majorHAnsi"/>
              </w:rPr>
              <w:t xml:space="preserve">the IRS </w:t>
            </w:r>
            <w:r w:rsidRPr="002A097A">
              <w:rPr>
                <w:rFonts w:asciiTheme="majorHAnsi" w:hAnsiTheme="majorHAnsi" w:cstheme="majorHAnsi"/>
              </w:rPr>
              <w:t>need</w:t>
            </w:r>
            <w:r w:rsidR="00801CC4" w:rsidRPr="002A097A">
              <w:rPr>
                <w:rFonts w:asciiTheme="majorHAnsi" w:hAnsiTheme="majorHAnsi" w:cstheme="majorHAnsi"/>
              </w:rPr>
              <w:t xml:space="preserve">s </w:t>
            </w:r>
            <w:r w:rsidRPr="002A097A">
              <w:rPr>
                <w:rFonts w:asciiTheme="majorHAnsi" w:hAnsiTheme="majorHAnsi" w:cstheme="majorHAnsi"/>
              </w:rPr>
              <w:t>to carry out its mission of serving America’s taxpayers.</w:t>
            </w:r>
          </w:p>
        </w:tc>
      </w:tr>
      <w:tr w:rsidR="00661AE5" w:rsidRPr="002A097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2A097A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2A097A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A097A" w:rsidRDefault="00B021AA" w:rsidP="008356F3">
            <w:pPr>
              <w:rPr>
                <w:rFonts w:asciiTheme="majorHAnsi" w:hAnsiTheme="majorHAnsi" w:cstheme="majorHAnsi"/>
                <w:bCs/>
              </w:rPr>
            </w:pPr>
            <w:r w:rsidRPr="002A097A">
              <w:rPr>
                <w:rFonts w:asciiTheme="majorHAnsi" w:hAnsiTheme="majorHAnsi" w:cstheme="majorHAnsi"/>
                <w:bCs/>
              </w:rPr>
              <w:t>Level V $</w:t>
            </w:r>
            <w:r w:rsidR="008356F3">
              <w:rPr>
                <w:rFonts w:asciiTheme="majorHAnsi" w:hAnsiTheme="majorHAnsi" w:cstheme="majorHAnsi"/>
                <w:bCs/>
              </w:rPr>
              <w:t>145,700</w:t>
            </w:r>
            <w:r w:rsidR="00220D75" w:rsidRPr="002A097A">
              <w:rPr>
                <w:rFonts w:asciiTheme="majorHAnsi" w:hAnsiTheme="majorHAnsi" w:cstheme="majorHAnsi"/>
                <w:bCs/>
              </w:rPr>
              <w:t xml:space="preserve"> (5 U.S.C. § 5316)</w:t>
            </w:r>
            <w:r w:rsidR="008356F3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2A097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A097A" w:rsidRDefault="00661AE5" w:rsidP="004E1C64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2A097A" w:rsidRDefault="00095FA6" w:rsidP="00D276D6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IRS Commissioner</w:t>
            </w:r>
            <w:r w:rsidRPr="002A097A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2A097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A097A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A097A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2A097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A097A" w:rsidRDefault="00661AE5" w:rsidP="004E1C64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2A097A" w:rsidRDefault="00B16DFF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The Office of Chief Counsel employs approximately 2,200 employees in locations throughout the United States.</w:t>
            </w:r>
            <w:r w:rsidR="00A407CC" w:rsidRPr="002A097A">
              <w:rPr>
                <w:rStyle w:val="EndnoteReference"/>
                <w:rFonts w:asciiTheme="majorHAnsi" w:hAnsiTheme="majorHAnsi" w:cstheme="majorHAnsi"/>
              </w:rPr>
              <w:endnoteReference w:id="3"/>
            </w:r>
            <w:r w:rsidR="00EC2B4D" w:rsidRPr="002A097A">
              <w:rPr>
                <w:rFonts w:asciiTheme="majorHAnsi" w:hAnsiTheme="majorHAnsi" w:cstheme="majorHAnsi"/>
              </w:rPr>
              <w:t xml:space="preserve"> </w:t>
            </w:r>
            <w:r w:rsidR="002A097A" w:rsidRPr="002A097A">
              <w:rPr>
                <w:rFonts w:asciiTheme="majorHAnsi" w:hAnsiTheme="majorHAnsi" w:cstheme="majorHAnsi"/>
              </w:rPr>
              <w:t>The IRS is the largest Treasury bureau, with more than 100,000 employees throughout the U.S., and a budget of more than $10 billion.</w:t>
            </w:r>
          </w:p>
        </w:tc>
      </w:tr>
      <w:tr w:rsidR="00661AE5" w:rsidRPr="002A097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A097A" w:rsidRDefault="00661AE5" w:rsidP="004E1C64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E1C" w:rsidRPr="002A097A" w:rsidRDefault="00BE7E1C" w:rsidP="00BE7E1C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Prepares legislative proposals, regulations, revenue rulings and p</w:t>
            </w:r>
            <w:r w:rsidR="00F8686B" w:rsidRPr="002A097A">
              <w:rPr>
                <w:rFonts w:asciiTheme="majorHAnsi" w:hAnsiTheme="majorHAnsi" w:cstheme="majorHAnsi"/>
              </w:rPr>
              <w:t>rocedures, actions on decisions</w:t>
            </w:r>
            <w:r w:rsidRPr="002A097A">
              <w:rPr>
                <w:rFonts w:asciiTheme="majorHAnsi" w:hAnsiTheme="majorHAnsi" w:cstheme="majorHAnsi"/>
              </w:rPr>
              <w:t xml:space="preserve"> and other items of p</w:t>
            </w:r>
            <w:r w:rsidR="00F8686B" w:rsidRPr="002A097A">
              <w:rPr>
                <w:rFonts w:asciiTheme="majorHAnsi" w:hAnsiTheme="majorHAnsi" w:cstheme="majorHAnsi"/>
              </w:rPr>
              <w:t>ublic guidance and legal advice</w:t>
            </w:r>
          </w:p>
          <w:p w:rsidR="00116981" w:rsidRPr="002A097A" w:rsidRDefault="00F8686B" w:rsidP="00BE7E1C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Coordinates the s</w:t>
            </w:r>
            <w:r w:rsidR="00116981" w:rsidRPr="002A097A">
              <w:rPr>
                <w:rFonts w:asciiTheme="majorHAnsi" w:hAnsiTheme="majorHAnsi" w:cstheme="majorHAnsi"/>
              </w:rPr>
              <w:t>ervice’s p</w:t>
            </w:r>
            <w:r w:rsidRPr="002A097A">
              <w:rPr>
                <w:rFonts w:asciiTheme="majorHAnsi" w:hAnsiTheme="majorHAnsi" w:cstheme="majorHAnsi"/>
              </w:rPr>
              <w:t>osition in litigation with the s</w:t>
            </w:r>
            <w:r w:rsidR="00116981" w:rsidRPr="002A097A">
              <w:rPr>
                <w:rFonts w:asciiTheme="majorHAnsi" w:hAnsiTheme="majorHAnsi" w:cstheme="majorHAnsi"/>
              </w:rPr>
              <w:t xml:space="preserve">ervice and the Department of </w:t>
            </w:r>
            <w:r w:rsidR="00394AAD" w:rsidRPr="002A097A">
              <w:rPr>
                <w:rFonts w:asciiTheme="majorHAnsi" w:hAnsiTheme="majorHAnsi" w:cstheme="majorHAnsi"/>
              </w:rPr>
              <w:t>Justice to ensure operating d</w:t>
            </w:r>
            <w:r w:rsidR="00116981" w:rsidRPr="002A097A">
              <w:rPr>
                <w:rFonts w:asciiTheme="majorHAnsi" w:hAnsiTheme="majorHAnsi" w:cstheme="majorHAnsi"/>
              </w:rPr>
              <w:t>ivisions are taking consistent and appropriate te</w:t>
            </w:r>
            <w:r w:rsidR="00394AAD" w:rsidRPr="002A097A">
              <w:rPr>
                <w:rFonts w:asciiTheme="majorHAnsi" w:hAnsiTheme="majorHAnsi" w:cstheme="majorHAnsi"/>
              </w:rPr>
              <w:t>chnical positions in litigation</w:t>
            </w:r>
          </w:p>
          <w:p w:rsidR="00116981" w:rsidRPr="002A097A" w:rsidRDefault="00116981" w:rsidP="00BE7E1C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Reviews and coordinates pleadings, motions, briefs, settleme</w:t>
            </w:r>
            <w:r w:rsidR="00F8686B" w:rsidRPr="002A097A">
              <w:rPr>
                <w:rFonts w:asciiTheme="majorHAnsi" w:hAnsiTheme="majorHAnsi" w:cstheme="majorHAnsi"/>
              </w:rPr>
              <w:t>nt documents, notices of appeal</w:t>
            </w:r>
            <w:r w:rsidRPr="002A097A">
              <w:rPr>
                <w:rFonts w:asciiTheme="majorHAnsi" w:hAnsiTheme="majorHAnsi" w:cstheme="majorHAnsi"/>
              </w:rPr>
              <w:t xml:space="preserve"> and any other material </w:t>
            </w:r>
            <w:r w:rsidR="00A4326A" w:rsidRPr="002A097A">
              <w:rPr>
                <w:rFonts w:asciiTheme="majorHAnsi" w:hAnsiTheme="majorHAnsi" w:cstheme="majorHAnsi"/>
              </w:rPr>
              <w:t>prepared in connection with U.S.</w:t>
            </w:r>
            <w:r w:rsidR="00F8686B" w:rsidRPr="002A097A">
              <w:rPr>
                <w:rFonts w:asciiTheme="majorHAnsi" w:hAnsiTheme="majorHAnsi" w:cstheme="majorHAnsi"/>
              </w:rPr>
              <w:t xml:space="preserve"> </w:t>
            </w:r>
            <w:r w:rsidR="005C4720" w:rsidRPr="002A097A">
              <w:rPr>
                <w:rFonts w:asciiTheme="majorHAnsi" w:hAnsiTheme="majorHAnsi" w:cstheme="majorHAnsi"/>
              </w:rPr>
              <w:t>T</w:t>
            </w:r>
            <w:r w:rsidR="00890744" w:rsidRPr="002A097A">
              <w:rPr>
                <w:rFonts w:asciiTheme="majorHAnsi" w:hAnsiTheme="majorHAnsi" w:cstheme="majorHAnsi"/>
              </w:rPr>
              <w:t xml:space="preserve">ax </w:t>
            </w:r>
            <w:r w:rsidR="005C4720" w:rsidRPr="002A097A">
              <w:rPr>
                <w:rFonts w:asciiTheme="majorHAnsi" w:hAnsiTheme="majorHAnsi" w:cstheme="majorHAnsi"/>
              </w:rPr>
              <w:t>C</w:t>
            </w:r>
            <w:r w:rsidR="00890744" w:rsidRPr="002A097A">
              <w:rPr>
                <w:rFonts w:asciiTheme="majorHAnsi" w:hAnsiTheme="majorHAnsi" w:cstheme="majorHAnsi"/>
              </w:rPr>
              <w:t xml:space="preserve">ourt </w:t>
            </w:r>
            <w:r w:rsidR="00F8686B" w:rsidRPr="002A097A">
              <w:rPr>
                <w:rFonts w:asciiTheme="majorHAnsi" w:hAnsiTheme="majorHAnsi" w:cstheme="majorHAnsi"/>
              </w:rPr>
              <w:t>litigation</w:t>
            </w:r>
          </w:p>
          <w:p w:rsidR="00116981" w:rsidRPr="002A097A" w:rsidRDefault="00116981" w:rsidP="00BE7E1C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Develops policy, procedure, dire</w:t>
            </w:r>
            <w:r w:rsidR="00EB7AEC" w:rsidRPr="002A097A">
              <w:rPr>
                <w:rFonts w:asciiTheme="majorHAnsi" w:hAnsiTheme="majorHAnsi" w:cstheme="majorHAnsi"/>
              </w:rPr>
              <w:t>ctives, chief counsel notices, l</w:t>
            </w:r>
            <w:r w:rsidRPr="002A097A">
              <w:rPr>
                <w:rFonts w:asciiTheme="majorHAnsi" w:hAnsiTheme="majorHAnsi" w:cstheme="majorHAnsi"/>
              </w:rPr>
              <w:t>itigat</w:t>
            </w:r>
            <w:r w:rsidR="00EB7AEC" w:rsidRPr="002A097A">
              <w:rPr>
                <w:rFonts w:asciiTheme="majorHAnsi" w:hAnsiTheme="majorHAnsi" w:cstheme="majorHAnsi"/>
              </w:rPr>
              <w:t>ion guideline memorandums and chief counsel directives m</w:t>
            </w:r>
            <w:r w:rsidRPr="002A097A">
              <w:rPr>
                <w:rFonts w:asciiTheme="majorHAnsi" w:hAnsiTheme="majorHAnsi" w:cstheme="majorHAnsi"/>
              </w:rPr>
              <w:t>anual provisions to provide uniform app</w:t>
            </w:r>
            <w:r w:rsidR="00EB7AEC" w:rsidRPr="002A097A">
              <w:rPr>
                <w:rFonts w:asciiTheme="majorHAnsi" w:hAnsiTheme="majorHAnsi" w:cstheme="majorHAnsi"/>
              </w:rPr>
              <w:t>lication of law and regulation</w:t>
            </w:r>
          </w:p>
          <w:p w:rsidR="00EB7AEC" w:rsidRPr="002A097A" w:rsidRDefault="00EB7AEC" w:rsidP="00BE7E1C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 xml:space="preserve">Issues technical </w:t>
            </w:r>
            <w:r w:rsidR="00116981" w:rsidRPr="002A097A">
              <w:rPr>
                <w:rFonts w:asciiTheme="majorHAnsi" w:hAnsiTheme="majorHAnsi" w:cstheme="majorHAnsi"/>
              </w:rPr>
              <w:t>and other legal advice res</w:t>
            </w:r>
            <w:r w:rsidRPr="002A097A">
              <w:rPr>
                <w:rFonts w:asciiTheme="majorHAnsi" w:hAnsiTheme="majorHAnsi" w:cstheme="majorHAnsi"/>
              </w:rPr>
              <w:t>ponding to questions raised by s</w:t>
            </w:r>
            <w:r w:rsidR="00116981" w:rsidRPr="002A097A">
              <w:rPr>
                <w:rFonts w:asciiTheme="majorHAnsi" w:hAnsiTheme="majorHAnsi" w:cstheme="majorHAnsi"/>
              </w:rPr>
              <w:t>ervice</w:t>
            </w:r>
            <w:r w:rsidRPr="002A097A">
              <w:rPr>
                <w:rFonts w:asciiTheme="majorHAnsi" w:hAnsiTheme="majorHAnsi" w:cstheme="majorHAnsi"/>
              </w:rPr>
              <w:t xml:space="preserve"> personnel</w:t>
            </w:r>
          </w:p>
          <w:p w:rsidR="00116981" w:rsidRPr="002A097A" w:rsidRDefault="00EB7AEC" w:rsidP="00A83836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Re</w:t>
            </w:r>
            <w:r w:rsidR="00116981" w:rsidRPr="002A097A">
              <w:rPr>
                <w:rFonts w:asciiTheme="majorHAnsi" w:hAnsiTheme="majorHAnsi" w:cstheme="majorHAnsi"/>
              </w:rPr>
              <w:t>views</w:t>
            </w:r>
            <w:r w:rsidR="00A83836" w:rsidRPr="002A097A">
              <w:rPr>
                <w:rFonts w:asciiTheme="majorHAnsi" w:hAnsiTheme="majorHAnsi" w:cstheme="majorHAnsi"/>
              </w:rPr>
              <w:t xml:space="preserve"> booklets, training materials, audit technique g</w:t>
            </w:r>
            <w:r w:rsidR="004C7BB7" w:rsidRPr="002A097A">
              <w:rPr>
                <w:rFonts w:asciiTheme="majorHAnsi" w:hAnsiTheme="majorHAnsi" w:cstheme="majorHAnsi"/>
              </w:rPr>
              <w:t>uides, c</w:t>
            </w:r>
            <w:r w:rsidR="00116981" w:rsidRPr="002A097A">
              <w:rPr>
                <w:rFonts w:asciiTheme="majorHAnsi" w:hAnsiTheme="majorHAnsi" w:cstheme="majorHAnsi"/>
              </w:rPr>
              <w:t xml:space="preserve">oordinated </w:t>
            </w:r>
            <w:r w:rsidR="004C7BB7" w:rsidRPr="002A097A">
              <w:rPr>
                <w:rFonts w:asciiTheme="majorHAnsi" w:hAnsiTheme="majorHAnsi" w:cstheme="majorHAnsi"/>
              </w:rPr>
              <w:t>issue papers, appeals settlement g</w:t>
            </w:r>
            <w:r w:rsidR="00116981" w:rsidRPr="002A097A">
              <w:rPr>
                <w:rFonts w:asciiTheme="majorHAnsi" w:hAnsiTheme="majorHAnsi" w:cstheme="majorHAnsi"/>
              </w:rPr>
              <w:t>uidelines, forms, publications and instruction</w:t>
            </w:r>
            <w:r w:rsidR="00A83836" w:rsidRPr="002A097A">
              <w:rPr>
                <w:rFonts w:asciiTheme="majorHAnsi" w:hAnsiTheme="majorHAnsi" w:cstheme="majorHAnsi"/>
              </w:rPr>
              <w:t>s to ensure technical accuracy and</w:t>
            </w:r>
            <w:r w:rsidR="00A74BE1" w:rsidRPr="002A097A">
              <w:rPr>
                <w:rFonts w:asciiTheme="majorHAnsi" w:hAnsiTheme="majorHAnsi" w:cstheme="majorHAnsi"/>
              </w:rPr>
              <w:t>,</w:t>
            </w:r>
            <w:r w:rsidR="00A83836" w:rsidRPr="002A097A">
              <w:rPr>
                <w:rFonts w:asciiTheme="majorHAnsi" w:hAnsiTheme="majorHAnsi" w:cstheme="majorHAnsi"/>
              </w:rPr>
              <w:t xml:space="preserve"> u</w:t>
            </w:r>
            <w:r w:rsidR="00116981" w:rsidRPr="002A097A">
              <w:rPr>
                <w:rFonts w:asciiTheme="majorHAnsi" w:hAnsiTheme="majorHAnsi" w:cstheme="majorHAnsi"/>
              </w:rPr>
              <w:t>pon reques</w:t>
            </w:r>
            <w:r w:rsidR="00C1754E" w:rsidRPr="002A097A">
              <w:rPr>
                <w:rFonts w:asciiTheme="majorHAnsi" w:hAnsiTheme="majorHAnsi" w:cstheme="majorHAnsi"/>
              </w:rPr>
              <w:t>t, assists in their preparation</w:t>
            </w:r>
          </w:p>
          <w:p w:rsidR="00116981" w:rsidRPr="002A097A" w:rsidRDefault="00116981" w:rsidP="00BE7E1C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lastRenderedPageBreak/>
              <w:t>Issues letter rulings and general technical information letters in resp</w:t>
            </w:r>
            <w:r w:rsidR="00C1754E" w:rsidRPr="002A097A">
              <w:rPr>
                <w:rFonts w:asciiTheme="majorHAnsi" w:hAnsiTheme="majorHAnsi" w:cstheme="majorHAnsi"/>
              </w:rPr>
              <w:t>onse to requests from taxpayers</w:t>
            </w:r>
          </w:p>
          <w:p w:rsidR="0016537A" w:rsidRPr="002A097A" w:rsidRDefault="00116981" w:rsidP="00BE7E1C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 xml:space="preserve">Provides guidance on legal matters involving the IRS in the areas of </w:t>
            </w:r>
            <w:r w:rsidR="004C7BB7" w:rsidRPr="002A097A">
              <w:rPr>
                <w:rFonts w:asciiTheme="majorHAnsi" w:hAnsiTheme="majorHAnsi" w:cstheme="majorHAnsi"/>
              </w:rPr>
              <w:t>claims, labor and personnel law,</w:t>
            </w:r>
            <w:r w:rsidRPr="002A097A">
              <w:rPr>
                <w:rFonts w:asciiTheme="majorHAnsi" w:hAnsiTheme="majorHAnsi" w:cstheme="majorHAnsi"/>
              </w:rPr>
              <w:t xml:space="preserve"> eth</w:t>
            </w:r>
            <w:r w:rsidR="004C7BB7" w:rsidRPr="002A097A">
              <w:rPr>
                <w:rFonts w:asciiTheme="majorHAnsi" w:hAnsiTheme="majorHAnsi" w:cstheme="majorHAnsi"/>
              </w:rPr>
              <w:t xml:space="preserve">ics and general government law, </w:t>
            </w:r>
            <w:r w:rsidRPr="002A097A">
              <w:rPr>
                <w:rFonts w:asciiTheme="majorHAnsi" w:hAnsiTheme="majorHAnsi" w:cstheme="majorHAnsi"/>
              </w:rPr>
              <w:t>and public co</w:t>
            </w:r>
            <w:r w:rsidR="00C1754E" w:rsidRPr="002A097A">
              <w:rPr>
                <w:rFonts w:asciiTheme="majorHAnsi" w:hAnsiTheme="majorHAnsi" w:cstheme="majorHAnsi"/>
              </w:rPr>
              <w:t>ntracts and technology law</w:t>
            </w:r>
          </w:p>
          <w:p w:rsidR="00047E3F" w:rsidRPr="002A097A" w:rsidRDefault="00047E3F" w:rsidP="00BE7E1C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Theme="majorHAnsi" w:hAnsiTheme="majorHAnsi" w:cstheme="majorHAnsi"/>
                <w:b/>
                <w:u w:val="single"/>
              </w:rPr>
            </w:pPr>
            <w:r w:rsidRPr="002A097A">
              <w:rPr>
                <w:rFonts w:asciiTheme="majorHAnsi" w:hAnsiTheme="majorHAnsi" w:cstheme="majorHAnsi"/>
              </w:rPr>
              <w:t xml:space="preserve">Works closely with the Treasury, </w:t>
            </w:r>
            <w:r w:rsidR="00A74BE1" w:rsidRPr="002A097A">
              <w:rPr>
                <w:rFonts w:asciiTheme="majorHAnsi" w:hAnsiTheme="majorHAnsi" w:cstheme="majorHAnsi"/>
              </w:rPr>
              <w:t xml:space="preserve">the </w:t>
            </w:r>
            <w:r w:rsidRPr="002A097A">
              <w:rPr>
                <w:rFonts w:asciiTheme="majorHAnsi" w:hAnsiTheme="majorHAnsi" w:cstheme="majorHAnsi"/>
              </w:rPr>
              <w:t xml:space="preserve">House Committee on Ways &amp; Means, </w:t>
            </w:r>
            <w:r w:rsidR="00A74BE1" w:rsidRPr="002A097A">
              <w:rPr>
                <w:rFonts w:asciiTheme="majorHAnsi" w:hAnsiTheme="majorHAnsi" w:cstheme="majorHAnsi"/>
              </w:rPr>
              <w:t xml:space="preserve">the Justice department </w:t>
            </w:r>
            <w:r w:rsidRPr="002A097A">
              <w:rPr>
                <w:rFonts w:asciiTheme="majorHAnsi" w:hAnsiTheme="majorHAnsi" w:cstheme="majorHAnsi"/>
              </w:rPr>
              <w:t xml:space="preserve">and </w:t>
            </w:r>
            <w:r w:rsidR="00A74BE1" w:rsidRPr="002A097A">
              <w:rPr>
                <w:rFonts w:asciiTheme="majorHAnsi" w:hAnsiTheme="majorHAnsi" w:cstheme="majorHAnsi"/>
              </w:rPr>
              <w:t xml:space="preserve">the </w:t>
            </w:r>
            <w:r w:rsidRPr="002A097A">
              <w:rPr>
                <w:rFonts w:asciiTheme="majorHAnsi" w:hAnsiTheme="majorHAnsi" w:cstheme="majorHAnsi"/>
              </w:rPr>
              <w:t>Senate Finance Committee</w:t>
            </w:r>
            <w:r w:rsidR="004A1BBC" w:rsidRPr="002A097A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3408DF" w:rsidRPr="002A097A" w:rsidRDefault="009D0B5A" w:rsidP="00BE7E1C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Theme="majorHAnsi" w:hAnsiTheme="majorHAnsi" w:cstheme="majorHAnsi"/>
                <w:b/>
                <w:u w:val="single"/>
              </w:rPr>
            </w:pPr>
            <w:r w:rsidRPr="002A097A">
              <w:rPr>
                <w:rFonts w:asciiTheme="majorHAnsi" w:hAnsiTheme="majorHAnsi" w:cstheme="majorHAnsi"/>
              </w:rPr>
              <w:t xml:space="preserve">Serves as the chief legal advisor to </w:t>
            </w:r>
            <w:r w:rsidR="00890744" w:rsidRPr="002A097A">
              <w:rPr>
                <w:rFonts w:asciiTheme="majorHAnsi" w:hAnsiTheme="majorHAnsi" w:cstheme="majorHAnsi"/>
              </w:rPr>
              <w:t>the commissioner of internal revenu</w:t>
            </w:r>
            <w:r w:rsidRPr="002A097A">
              <w:rPr>
                <w:rFonts w:asciiTheme="majorHAnsi" w:hAnsiTheme="majorHAnsi" w:cstheme="majorHAnsi"/>
              </w:rPr>
              <w:t>e on all matters pertaining to the interpretation, administration and enforcement of the Internal Revenue Code and other legal matters</w:t>
            </w:r>
          </w:p>
          <w:p w:rsidR="009D0B5A" w:rsidRPr="002A097A" w:rsidRDefault="003408DF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432"/>
              <w:rPr>
                <w:rFonts w:asciiTheme="majorHAnsi" w:hAnsiTheme="majorHAnsi" w:cstheme="majorHAnsi"/>
                <w:b/>
                <w:u w:val="single"/>
              </w:rPr>
            </w:pPr>
            <w:r w:rsidRPr="002A097A">
              <w:rPr>
                <w:rFonts w:asciiTheme="majorHAnsi" w:hAnsiTheme="majorHAnsi" w:cstheme="majorHAnsi"/>
              </w:rPr>
              <w:t xml:space="preserve">Responsible for providing correct and impartial interpretation of </w:t>
            </w:r>
            <w:r w:rsidR="00A74BE1" w:rsidRPr="002A097A">
              <w:rPr>
                <w:rFonts w:asciiTheme="majorHAnsi" w:hAnsiTheme="majorHAnsi" w:cstheme="majorHAnsi"/>
              </w:rPr>
              <w:t xml:space="preserve">tax </w:t>
            </w:r>
            <w:r w:rsidRPr="002A097A">
              <w:rPr>
                <w:rFonts w:asciiTheme="majorHAnsi" w:hAnsiTheme="majorHAnsi" w:cstheme="majorHAnsi"/>
              </w:rPr>
              <w:t>laws and the highest</w:t>
            </w:r>
            <w:r w:rsidR="00A74BE1" w:rsidRPr="002A097A">
              <w:rPr>
                <w:rFonts w:asciiTheme="majorHAnsi" w:hAnsiTheme="majorHAnsi" w:cstheme="majorHAnsi"/>
              </w:rPr>
              <w:t>-</w:t>
            </w:r>
            <w:r w:rsidRPr="002A097A">
              <w:rPr>
                <w:rFonts w:asciiTheme="majorHAnsi" w:hAnsiTheme="majorHAnsi" w:cstheme="majorHAnsi"/>
              </w:rPr>
              <w:t>quality legal advice and representation for the IRS and Treasury</w:t>
            </w:r>
            <w:r w:rsidR="00A74BE1" w:rsidRPr="002A097A">
              <w:rPr>
                <w:rFonts w:asciiTheme="majorHAnsi" w:hAnsiTheme="majorHAnsi" w:cstheme="majorHAnsi"/>
              </w:rPr>
              <w:t>,</w:t>
            </w:r>
            <w:r w:rsidRPr="002A097A">
              <w:rPr>
                <w:rFonts w:asciiTheme="majorHAnsi" w:hAnsiTheme="majorHAnsi" w:cstheme="majorHAnsi"/>
              </w:rPr>
              <w:t xml:space="preserve"> and to taxpayers</w:t>
            </w:r>
            <w:r w:rsidR="009D0B5A" w:rsidRPr="002A097A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2A097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A097A" w:rsidRDefault="00661AE5" w:rsidP="004E1C64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2A097A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A097A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2A097A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[</w:t>
            </w:r>
            <w:r w:rsidR="005D5F5A" w:rsidRPr="002A097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2A097A">
              <w:rPr>
                <w:rFonts w:asciiTheme="majorHAnsi" w:hAnsiTheme="majorHAnsi" w:cstheme="majorHAnsi"/>
              </w:rPr>
              <w:t>]</w:t>
            </w:r>
          </w:p>
          <w:p w:rsidR="0039752D" w:rsidRPr="002A097A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A097A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2A097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A097A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A097A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2A097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A097A" w:rsidRDefault="00661AE5" w:rsidP="004E1C64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D1E" w:rsidRPr="002A097A" w:rsidRDefault="00323D1E" w:rsidP="003F3300">
            <w:pPr>
              <w:numPr>
                <w:ilvl w:val="0"/>
                <w:numId w:val="36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2A097A">
              <w:rPr>
                <w:rFonts w:asciiTheme="majorHAnsi" w:eastAsia="Calibri" w:hAnsiTheme="majorHAnsi" w:cstheme="majorHAnsi"/>
              </w:rPr>
              <w:t>Distinguished legal career</w:t>
            </w:r>
            <w:r w:rsidR="00890744" w:rsidRPr="002A097A">
              <w:rPr>
                <w:rFonts w:asciiTheme="majorHAnsi" w:eastAsia="Calibri" w:hAnsiTheme="majorHAnsi" w:cstheme="majorHAnsi"/>
              </w:rPr>
              <w:t xml:space="preserve"> and strong technical background</w:t>
            </w:r>
          </w:p>
          <w:p w:rsidR="00323D1E" w:rsidRPr="002A097A" w:rsidRDefault="00323D1E" w:rsidP="003F3300">
            <w:pPr>
              <w:numPr>
                <w:ilvl w:val="0"/>
                <w:numId w:val="36"/>
              </w:numPr>
              <w:ind w:left="432"/>
              <w:contextualSpacing/>
              <w:rPr>
                <w:rFonts w:asciiTheme="majorHAnsi" w:eastAsia="Calibri" w:hAnsiTheme="majorHAnsi" w:cstheme="majorHAnsi"/>
              </w:rPr>
            </w:pPr>
            <w:r w:rsidRPr="002A097A">
              <w:rPr>
                <w:rFonts w:asciiTheme="majorHAnsi" w:eastAsia="Calibri" w:hAnsiTheme="majorHAnsi" w:cstheme="majorHAnsi"/>
              </w:rPr>
              <w:t xml:space="preserve">Previous work experience in the federal government </w:t>
            </w:r>
            <w:r w:rsidR="00A74BE1" w:rsidRPr="002A097A">
              <w:rPr>
                <w:rFonts w:asciiTheme="majorHAnsi" w:eastAsia="Calibri" w:hAnsiTheme="majorHAnsi" w:cstheme="majorHAnsi"/>
              </w:rPr>
              <w:t xml:space="preserve">and </w:t>
            </w:r>
            <w:r w:rsidRPr="002A097A">
              <w:rPr>
                <w:rFonts w:asciiTheme="majorHAnsi" w:eastAsia="Calibri" w:hAnsiTheme="majorHAnsi" w:cstheme="majorHAnsi"/>
              </w:rPr>
              <w:t>the private sector</w:t>
            </w:r>
          </w:p>
          <w:p w:rsidR="00323D1E" w:rsidRPr="002A097A" w:rsidRDefault="00323D1E" w:rsidP="003F3300">
            <w:pPr>
              <w:numPr>
                <w:ilvl w:val="0"/>
                <w:numId w:val="36"/>
              </w:numPr>
              <w:ind w:left="432"/>
              <w:contextualSpacing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2A097A">
              <w:rPr>
                <w:rFonts w:asciiTheme="majorHAnsi" w:eastAsia="Calibri" w:hAnsiTheme="majorHAnsi" w:cstheme="majorHAnsi"/>
                <w:bCs/>
              </w:rPr>
              <w:t>Proven track record of a</w:t>
            </w:r>
            <w:r w:rsidR="00890744" w:rsidRPr="002A097A">
              <w:rPr>
                <w:rFonts w:asciiTheme="majorHAnsi" w:eastAsia="Calibri" w:hAnsiTheme="majorHAnsi" w:cstheme="majorHAnsi"/>
                <w:bCs/>
              </w:rPr>
              <w:t>ddressing complex legal matters</w:t>
            </w:r>
          </w:p>
          <w:p w:rsidR="007C46EB" w:rsidRPr="002A097A" w:rsidRDefault="003F3300" w:rsidP="003F3300">
            <w:pPr>
              <w:numPr>
                <w:ilvl w:val="0"/>
                <w:numId w:val="36"/>
              </w:numPr>
              <w:spacing w:after="160"/>
              <w:ind w:left="432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2A097A">
              <w:rPr>
                <w:rFonts w:asciiTheme="majorHAnsi" w:eastAsia="Calibri" w:hAnsiTheme="majorHAnsi" w:cstheme="majorHAnsi"/>
                <w:bCs/>
              </w:rPr>
              <w:t>Experience effectively managing large staff of legal and administrative support professionals</w:t>
            </w:r>
            <w:r w:rsidR="00323D1E" w:rsidRPr="002A097A">
              <w:rPr>
                <w:rStyle w:val="EndnoteReference"/>
                <w:rFonts w:asciiTheme="majorHAnsi" w:eastAsia="Calibri" w:hAnsiTheme="majorHAnsi" w:cstheme="majorHAnsi"/>
                <w:bCs/>
              </w:rPr>
              <w:endnoteReference w:id="6"/>
            </w:r>
          </w:p>
        </w:tc>
      </w:tr>
      <w:tr w:rsidR="00661AE5" w:rsidRPr="002A097A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A097A" w:rsidRDefault="00661AE5" w:rsidP="004E1C64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D1E" w:rsidRPr="002A097A" w:rsidRDefault="000350F2" w:rsidP="00EC18C3">
            <w:pPr>
              <w:numPr>
                <w:ilvl w:val="0"/>
                <w:numId w:val="32"/>
              </w:numPr>
              <w:spacing w:after="160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2A097A">
              <w:rPr>
                <w:rFonts w:asciiTheme="majorHAnsi" w:eastAsia="Calibri" w:hAnsiTheme="majorHAnsi" w:cstheme="majorHAnsi"/>
                <w:bCs/>
              </w:rPr>
              <w:t>D</w:t>
            </w:r>
            <w:r w:rsidR="00323D1E" w:rsidRPr="002A097A">
              <w:rPr>
                <w:rFonts w:asciiTheme="majorHAnsi" w:eastAsia="Calibri" w:hAnsiTheme="majorHAnsi" w:cstheme="majorHAnsi"/>
                <w:bCs/>
              </w:rPr>
              <w:t>emonstrates complex thinking abilities, incorporating both analytical and conceptual abilities to manage and develop legal plans and strategies</w:t>
            </w:r>
          </w:p>
          <w:p w:rsidR="000350F2" w:rsidRPr="002A097A" w:rsidRDefault="000350F2" w:rsidP="00EC18C3">
            <w:pPr>
              <w:numPr>
                <w:ilvl w:val="0"/>
                <w:numId w:val="32"/>
              </w:numPr>
              <w:spacing w:after="160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2A097A">
              <w:rPr>
                <w:rFonts w:asciiTheme="majorHAnsi" w:eastAsia="Calibri" w:hAnsiTheme="majorHAnsi" w:cstheme="majorHAnsi"/>
                <w:bCs/>
              </w:rPr>
              <w:t>D</w:t>
            </w:r>
            <w:r w:rsidR="00323D1E" w:rsidRPr="002A097A">
              <w:rPr>
                <w:rFonts w:asciiTheme="majorHAnsi" w:eastAsia="Calibri" w:hAnsiTheme="majorHAnsi" w:cstheme="majorHAnsi"/>
                <w:bCs/>
              </w:rPr>
              <w:t>emonstrated ability to be proactive, exercise independent judgment and manage mul</w:t>
            </w:r>
            <w:r w:rsidRPr="002A097A">
              <w:rPr>
                <w:rFonts w:asciiTheme="majorHAnsi" w:eastAsia="Calibri" w:hAnsiTheme="majorHAnsi" w:cstheme="majorHAnsi"/>
                <w:bCs/>
              </w:rPr>
              <w:t>tiple projects simultaneously</w:t>
            </w:r>
          </w:p>
          <w:p w:rsidR="00323D1E" w:rsidRPr="002A097A" w:rsidRDefault="000350F2" w:rsidP="00EC18C3">
            <w:pPr>
              <w:numPr>
                <w:ilvl w:val="0"/>
                <w:numId w:val="32"/>
              </w:numPr>
              <w:spacing w:after="160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2A097A">
              <w:rPr>
                <w:rFonts w:asciiTheme="majorHAnsi" w:eastAsia="Calibri" w:hAnsiTheme="majorHAnsi" w:cstheme="majorHAnsi"/>
                <w:bCs/>
              </w:rPr>
              <w:t>S</w:t>
            </w:r>
            <w:r w:rsidR="00323D1E" w:rsidRPr="002A097A">
              <w:rPr>
                <w:rFonts w:asciiTheme="majorHAnsi" w:eastAsia="Calibri" w:hAnsiTheme="majorHAnsi" w:cstheme="majorHAnsi"/>
                <w:bCs/>
              </w:rPr>
              <w:t>trong work ethic and a track record of producing high-quality work under deadline pressures</w:t>
            </w:r>
          </w:p>
          <w:p w:rsidR="00A87EC8" w:rsidRPr="002A097A" w:rsidRDefault="000350F2" w:rsidP="00EC18C3">
            <w:pPr>
              <w:numPr>
                <w:ilvl w:val="0"/>
                <w:numId w:val="32"/>
              </w:numPr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2A097A">
              <w:rPr>
                <w:rFonts w:asciiTheme="majorHAnsi" w:eastAsia="Calibri" w:hAnsiTheme="majorHAnsi" w:cstheme="majorHAnsi"/>
                <w:bCs/>
              </w:rPr>
              <w:t>Proven</w:t>
            </w:r>
            <w:r w:rsidR="00323D1E" w:rsidRPr="002A097A">
              <w:rPr>
                <w:rFonts w:asciiTheme="majorHAnsi" w:eastAsia="Calibri" w:hAnsiTheme="majorHAnsi" w:cstheme="majorHAnsi"/>
                <w:bCs/>
              </w:rPr>
              <w:t xml:space="preserve"> track record of creating and managing relationships with peer executives inside the organization, ou</w:t>
            </w:r>
            <w:r w:rsidR="003F3300" w:rsidRPr="002A097A">
              <w:rPr>
                <w:rFonts w:asciiTheme="majorHAnsi" w:eastAsia="Calibri" w:hAnsiTheme="majorHAnsi" w:cstheme="majorHAnsi"/>
                <w:bCs/>
              </w:rPr>
              <w:t xml:space="preserve">tside counsel and third parties and </w:t>
            </w:r>
            <w:r w:rsidR="00323D1E" w:rsidRPr="002A097A">
              <w:rPr>
                <w:rFonts w:asciiTheme="majorHAnsi" w:eastAsia="Calibri" w:hAnsiTheme="majorHAnsi" w:cstheme="majorHAnsi"/>
                <w:bCs/>
              </w:rPr>
              <w:t>institutions</w:t>
            </w:r>
            <w:r w:rsidR="00323D1E" w:rsidRPr="002A097A">
              <w:rPr>
                <w:rStyle w:val="EndnoteReference"/>
                <w:rFonts w:asciiTheme="majorHAnsi" w:eastAsia="Calibri" w:hAnsiTheme="majorHAnsi" w:cstheme="majorHAnsi"/>
                <w:bCs/>
              </w:rPr>
              <w:endnoteReference w:id="7"/>
            </w:r>
          </w:p>
          <w:p w:rsidR="00890744" w:rsidRPr="002A097A" w:rsidRDefault="007C46EB" w:rsidP="00EC18C3">
            <w:pPr>
              <w:pStyle w:val="ListBulle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High ethical standards and a determination to ensu</w:t>
            </w:r>
            <w:r w:rsidR="000350F2" w:rsidRPr="002A097A">
              <w:rPr>
                <w:rFonts w:asciiTheme="majorHAnsi" w:hAnsiTheme="majorHAnsi" w:cstheme="majorHAnsi"/>
              </w:rPr>
              <w:t>re their application at the IRS (b</w:t>
            </w:r>
            <w:r w:rsidRPr="002A097A">
              <w:rPr>
                <w:rFonts w:asciiTheme="majorHAnsi" w:hAnsiTheme="majorHAnsi" w:cstheme="majorHAnsi"/>
              </w:rPr>
              <w:t>ecause of the importance of the IRS’s mandate, any ethical breach could severely und</w:t>
            </w:r>
            <w:r w:rsidR="000350F2" w:rsidRPr="002A097A">
              <w:rPr>
                <w:rFonts w:asciiTheme="majorHAnsi" w:hAnsiTheme="majorHAnsi" w:cstheme="majorHAnsi"/>
              </w:rPr>
              <w:t>ermine its mission and efficacy)</w:t>
            </w:r>
          </w:p>
          <w:p w:rsidR="007C46EB" w:rsidRPr="002A097A" w:rsidRDefault="00890744">
            <w:pPr>
              <w:pStyle w:val="ListBulle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 xml:space="preserve">Stature, </w:t>
            </w:r>
            <w:r w:rsidR="00A74BE1" w:rsidRPr="002A097A">
              <w:rPr>
                <w:rFonts w:asciiTheme="majorHAnsi" w:hAnsiTheme="majorHAnsi" w:cstheme="majorHAnsi"/>
              </w:rPr>
              <w:t xml:space="preserve">since </w:t>
            </w:r>
            <w:r w:rsidRPr="002A097A">
              <w:rPr>
                <w:rFonts w:asciiTheme="majorHAnsi" w:hAnsiTheme="majorHAnsi" w:cstheme="majorHAnsi"/>
              </w:rPr>
              <w:t>the IRS regularly interacts with some of the country’s preeminent governmental, corporate, academic and private</w:t>
            </w:r>
            <w:r w:rsidR="00A74BE1" w:rsidRPr="002A097A">
              <w:rPr>
                <w:rFonts w:asciiTheme="majorHAnsi" w:hAnsiTheme="majorHAnsi" w:cstheme="majorHAnsi"/>
              </w:rPr>
              <w:t>-</w:t>
            </w:r>
            <w:r w:rsidRPr="002A097A">
              <w:rPr>
                <w:rFonts w:asciiTheme="majorHAnsi" w:hAnsiTheme="majorHAnsi" w:cstheme="majorHAnsi"/>
              </w:rPr>
              <w:t>sector legal experts on complex tax issues</w:t>
            </w:r>
            <w:r w:rsidR="007C46EB" w:rsidRPr="002A097A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661AE5" w:rsidRPr="002A097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A097A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A097A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2A097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A097A" w:rsidRDefault="00293C10" w:rsidP="003C4E26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lastRenderedPageBreak/>
              <w:t>William J. Wilkins</w:t>
            </w:r>
            <w:r w:rsidR="00BE379B" w:rsidRPr="002A097A">
              <w:rPr>
                <w:rFonts w:asciiTheme="majorHAnsi" w:hAnsiTheme="majorHAnsi" w:cstheme="majorHAnsi"/>
              </w:rPr>
              <w:t xml:space="preserve"> (</w:t>
            </w:r>
            <w:r w:rsidR="007048C7" w:rsidRPr="002A097A">
              <w:rPr>
                <w:rFonts w:asciiTheme="majorHAnsi" w:hAnsiTheme="majorHAnsi" w:cstheme="majorHAnsi"/>
              </w:rPr>
              <w:t>2009 to 2017</w:t>
            </w:r>
            <w:r w:rsidR="00B30C4A" w:rsidRPr="002A097A">
              <w:rPr>
                <w:rFonts w:asciiTheme="majorHAnsi" w:hAnsiTheme="majorHAnsi" w:cstheme="majorHAnsi"/>
              </w:rPr>
              <w:t>):</w:t>
            </w:r>
            <w:r w:rsidR="00A44F1C" w:rsidRPr="002A097A">
              <w:rPr>
                <w:rFonts w:asciiTheme="majorHAnsi" w:hAnsiTheme="majorHAnsi" w:cstheme="majorHAnsi"/>
              </w:rPr>
              <w:t xml:space="preserve"> </w:t>
            </w:r>
            <w:r w:rsidR="003C4E26" w:rsidRPr="002A097A">
              <w:rPr>
                <w:rFonts w:asciiTheme="majorHAnsi" w:hAnsiTheme="majorHAnsi" w:cstheme="majorHAnsi"/>
              </w:rPr>
              <w:t>Assistant General Counsel for Tax, General Counsel, Department of the Treasury</w:t>
            </w:r>
            <w:r w:rsidR="00BE379B" w:rsidRPr="002A097A">
              <w:rPr>
                <w:rFonts w:asciiTheme="majorHAnsi" w:hAnsiTheme="majorHAnsi" w:cstheme="majorHAnsi"/>
              </w:rPr>
              <w:t xml:space="preserve">; </w:t>
            </w:r>
            <w:r w:rsidR="003C4E26" w:rsidRPr="002A097A">
              <w:rPr>
                <w:rFonts w:asciiTheme="majorHAnsi" w:hAnsiTheme="majorHAnsi" w:cstheme="majorHAnsi"/>
              </w:rPr>
              <w:t>Assistant General Counsel for Tax, General Counsel, Office of the Deputy Secretary, Department of the Treasury</w:t>
            </w:r>
            <w:r w:rsidR="00BE379B" w:rsidRPr="002A097A">
              <w:rPr>
                <w:rFonts w:asciiTheme="majorHAnsi" w:hAnsiTheme="majorHAnsi" w:cstheme="majorHAnsi"/>
              </w:rPr>
              <w:t xml:space="preserve">; </w:t>
            </w:r>
            <w:r w:rsidR="003C4E26" w:rsidRPr="002A097A">
              <w:rPr>
                <w:rFonts w:asciiTheme="majorHAnsi" w:hAnsiTheme="majorHAnsi" w:cstheme="majorHAnsi"/>
              </w:rPr>
              <w:t>Partner, Washington, D.C. Office, Wilmer Cutler Pickering Hale and Dorr LLP</w:t>
            </w:r>
            <w:r w:rsidR="003C4E26" w:rsidRPr="002A097A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BE379B" w:rsidRPr="002A097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A097A" w:rsidRDefault="002A66A2" w:rsidP="00415E7F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 xml:space="preserve">Donald </w:t>
            </w:r>
            <w:proofErr w:type="spellStart"/>
            <w:r w:rsidRPr="002A097A">
              <w:rPr>
                <w:rFonts w:asciiTheme="majorHAnsi" w:hAnsiTheme="majorHAnsi" w:cstheme="majorHAnsi"/>
              </w:rPr>
              <w:t>Korb</w:t>
            </w:r>
            <w:proofErr w:type="spellEnd"/>
            <w:r w:rsidR="00A44F1C" w:rsidRPr="002A097A">
              <w:rPr>
                <w:rFonts w:asciiTheme="majorHAnsi" w:hAnsiTheme="majorHAnsi" w:cstheme="majorHAnsi"/>
              </w:rPr>
              <w:t xml:space="preserve"> </w:t>
            </w:r>
            <w:r w:rsidR="00B30C4A" w:rsidRPr="002A097A">
              <w:rPr>
                <w:rFonts w:asciiTheme="majorHAnsi" w:hAnsiTheme="majorHAnsi" w:cstheme="majorHAnsi"/>
              </w:rPr>
              <w:t>(</w:t>
            </w:r>
            <w:r w:rsidRPr="002A097A">
              <w:rPr>
                <w:rFonts w:asciiTheme="majorHAnsi" w:hAnsiTheme="majorHAnsi" w:cstheme="majorHAnsi"/>
              </w:rPr>
              <w:t>2004</w:t>
            </w:r>
            <w:r w:rsidR="00415E7F" w:rsidRPr="002A097A">
              <w:rPr>
                <w:rFonts w:asciiTheme="majorHAnsi" w:hAnsiTheme="majorHAnsi" w:cstheme="majorHAnsi"/>
              </w:rPr>
              <w:t xml:space="preserve"> to 2008</w:t>
            </w:r>
            <w:r w:rsidR="00B30C4A" w:rsidRPr="002A097A">
              <w:rPr>
                <w:rFonts w:asciiTheme="majorHAnsi" w:hAnsiTheme="majorHAnsi" w:cstheme="majorHAnsi"/>
              </w:rPr>
              <w:t>):</w:t>
            </w:r>
            <w:r w:rsidR="00BE379B" w:rsidRPr="002A097A">
              <w:rPr>
                <w:rFonts w:asciiTheme="majorHAnsi" w:hAnsiTheme="majorHAnsi" w:cstheme="majorHAnsi"/>
              </w:rPr>
              <w:t xml:space="preserve"> </w:t>
            </w:r>
            <w:r w:rsidR="00415E7F" w:rsidRPr="002A097A">
              <w:rPr>
                <w:rFonts w:asciiTheme="majorHAnsi" w:hAnsiTheme="majorHAnsi" w:cstheme="majorHAnsi"/>
              </w:rPr>
              <w:t>IRS Chief Counsel, Assistant General Counsel for Tax, General Counsel, Department of the Treasury</w:t>
            </w:r>
            <w:r w:rsidR="00BE379B" w:rsidRPr="002A097A">
              <w:rPr>
                <w:rFonts w:asciiTheme="majorHAnsi" w:hAnsiTheme="majorHAnsi" w:cstheme="majorHAnsi"/>
              </w:rPr>
              <w:t xml:space="preserve">; </w:t>
            </w:r>
            <w:r w:rsidR="00415E7F" w:rsidRPr="002A097A">
              <w:rPr>
                <w:rFonts w:asciiTheme="majorHAnsi" w:hAnsiTheme="majorHAnsi" w:cstheme="majorHAnsi"/>
              </w:rPr>
              <w:t>Partner, Thompson Hine LLP</w:t>
            </w:r>
            <w:r w:rsidR="00BE379B" w:rsidRPr="002A097A">
              <w:rPr>
                <w:rFonts w:asciiTheme="majorHAnsi" w:hAnsiTheme="majorHAnsi" w:cstheme="majorHAnsi"/>
              </w:rPr>
              <w:t xml:space="preserve">; </w:t>
            </w:r>
            <w:r w:rsidR="00415E7F" w:rsidRPr="002A097A">
              <w:rPr>
                <w:rFonts w:asciiTheme="majorHAnsi" w:hAnsiTheme="majorHAnsi" w:cstheme="majorHAnsi"/>
              </w:rPr>
              <w:t>Partner, Coopers &amp; Lybrand LLP</w:t>
            </w:r>
            <w:r w:rsidR="009F5B42" w:rsidRPr="002A097A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tr w:rsidR="00661AE5" w:rsidRPr="002A097A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A097A" w:rsidRDefault="00DB22E0" w:rsidP="00250552">
            <w:pPr>
              <w:rPr>
                <w:rFonts w:asciiTheme="majorHAnsi" w:hAnsiTheme="majorHAnsi" w:cstheme="majorHAnsi"/>
              </w:rPr>
            </w:pPr>
            <w:r w:rsidRPr="002A097A">
              <w:rPr>
                <w:rFonts w:asciiTheme="majorHAnsi" w:hAnsiTheme="majorHAnsi" w:cstheme="majorHAnsi"/>
              </w:rPr>
              <w:t>B. John Williams, Jr.</w:t>
            </w:r>
            <w:r w:rsidR="00BE379B" w:rsidRPr="002A097A">
              <w:rPr>
                <w:rFonts w:asciiTheme="majorHAnsi" w:hAnsiTheme="majorHAnsi" w:cstheme="majorHAnsi"/>
              </w:rPr>
              <w:t xml:space="preserve"> </w:t>
            </w:r>
            <w:r w:rsidR="00B30C4A" w:rsidRPr="002A097A">
              <w:rPr>
                <w:rFonts w:asciiTheme="majorHAnsi" w:hAnsiTheme="majorHAnsi" w:cstheme="majorHAnsi"/>
              </w:rPr>
              <w:t>(</w:t>
            </w:r>
            <w:r w:rsidRPr="002A097A">
              <w:rPr>
                <w:rFonts w:asciiTheme="majorHAnsi" w:hAnsiTheme="majorHAnsi" w:cstheme="majorHAnsi"/>
              </w:rPr>
              <w:t>2002</w:t>
            </w:r>
            <w:r w:rsidR="005104C5" w:rsidRPr="002A097A">
              <w:rPr>
                <w:rFonts w:asciiTheme="majorHAnsi" w:hAnsiTheme="majorHAnsi" w:cstheme="majorHAnsi"/>
              </w:rPr>
              <w:t xml:space="preserve"> to 2004</w:t>
            </w:r>
            <w:r w:rsidR="00B30C4A" w:rsidRPr="002A097A">
              <w:rPr>
                <w:rFonts w:asciiTheme="majorHAnsi" w:hAnsiTheme="majorHAnsi" w:cstheme="majorHAnsi"/>
              </w:rPr>
              <w:t>):</w:t>
            </w:r>
            <w:r w:rsidR="00BE379B" w:rsidRPr="002A097A">
              <w:rPr>
                <w:rFonts w:asciiTheme="majorHAnsi" w:hAnsiTheme="majorHAnsi" w:cstheme="majorHAnsi"/>
              </w:rPr>
              <w:t xml:space="preserve"> </w:t>
            </w:r>
            <w:r w:rsidR="00250552" w:rsidRPr="002A097A">
              <w:rPr>
                <w:rFonts w:asciiTheme="majorHAnsi" w:hAnsiTheme="majorHAnsi" w:cstheme="majorHAnsi"/>
              </w:rPr>
              <w:t>Judge, United States Tax Court</w:t>
            </w:r>
            <w:r w:rsidR="00BE379B" w:rsidRPr="002A097A">
              <w:rPr>
                <w:rFonts w:asciiTheme="majorHAnsi" w:hAnsiTheme="majorHAnsi" w:cstheme="majorHAnsi"/>
              </w:rPr>
              <w:t xml:space="preserve">; </w:t>
            </w:r>
            <w:r w:rsidR="00250552" w:rsidRPr="002A097A">
              <w:rPr>
                <w:rFonts w:asciiTheme="majorHAnsi" w:hAnsiTheme="majorHAnsi" w:cstheme="majorHAnsi"/>
              </w:rPr>
              <w:t>Deputy Assistant Attorney General, Tax Division, Justice Department; Special Assistant to the Chief Counsel of the IRS</w:t>
            </w:r>
            <w:r w:rsidR="00250552" w:rsidRPr="002A097A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54" w:rsidRDefault="00FD3354" w:rsidP="001E22F1">
      <w:r>
        <w:separator/>
      </w:r>
    </w:p>
  </w:endnote>
  <w:endnote w:type="continuationSeparator" w:id="0">
    <w:p w:rsidR="00FD3354" w:rsidRDefault="00FD3354" w:rsidP="001E22F1">
      <w:r>
        <w:continuationSeparator/>
      </w:r>
    </w:p>
  </w:endnote>
  <w:endnote w:id="1">
    <w:p w:rsidR="008356F3" w:rsidRDefault="008356F3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095FA6" w:rsidRDefault="00095FA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73632">
        <w:t>Romney Readiness Project position description</w:t>
      </w:r>
    </w:p>
  </w:endnote>
  <w:endnote w:id="3">
    <w:p w:rsidR="00A407CC" w:rsidRDefault="00A407CC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4A1BBC" w:rsidRDefault="004A1B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F3300">
        <w:t>Romney Readiness Project position description</w:t>
      </w:r>
    </w:p>
  </w:endnote>
  <w:endnote w:id="5">
    <w:p w:rsidR="009D0B5A" w:rsidRDefault="009D0B5A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323D1E" w:rsidRDefault="00323D1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90744">
        <w:t>Partnership for Public Service position description</w:t>
      </w:r>
    </w:p>
    <w:p w:rsidR="00890744" w:rsidRDefault="00890744">
      <w:pPr>
        <w:pStyle w:val="EndnoteText"/>
      </w:pPr>
      <w:r>
        <w:t>Romney Readiness Project position description</w:t>
      </w:r>
    </w:p>
  </w:endnote>
  <w:endnote w:id="7">
    <w:p w:rsidR="00323D1E" w:rsidRDefault="00323D1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F3300">
        <w:t>Partnership for Public Service position description</w:t>
      </w:r>
    </w:p>
  </w:endnote>
  <w:endnote w:id="8">
    <w:p w:rsidR="003C4E26" w:rsidRDefault="007C46E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F3300">
        <w:t>Romney Readiness Project position description</w:t>
      </w:r>
    </w:p>
  </w:endnote>
  <w:endnote w:id="9">
    <w:p w:rsidR="00415E7F" w:rsidRDefault="003C4E26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10">
    <w:p w:rsidR="00250552" w:rsidRDefault="009F5B42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11">
    <w:p w:rsidR="00250552" w:rsidRDefault="0025055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50552">
        <w:t>https://www.skadden.com/professionals/b-john-williams-jr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54" w:rsidRDefault="00FD3354" w:rsidP="001E22F1">
      <w:r>
        <w:separator/>
      </w:r>
    </w:p>
  </w:footnote>
  <w:footnote w:type="continuationSeparator" w:id="0">
    <w:p w:rsidR="00FD3354" w:rsidRDefault="00FD3354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8356F3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EA8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A72FB"/>
    <w:multiLevelType w:val="hybridMultilevel"/>
    <w:tmpl w:val="378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ED3EE1"/>
    <w:multiLevelType w:val="hybridMultilevel"/>
    <w:tmpl w:val="DDAC8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15EAD"/>
    <w:multiLevelType w:val="hybridMultilevel"/>
    <w:tmpl w:val="1AF4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3"/>
  </w:num>
  <w:num w:numId="4">
    <w:abstractNumId w:val="38"/>
  </w:num>
  <w:num w:numId="5">
    <w:abstractNumId w:val="7"/>
  </w:num>
  <w:num w:numId="6">
    <w:abstractNumId w:val="34"/>
  </w:num>
  <w:num w:numId="7">
    <w:abstractNumId w:val="6"/>
  </w:num>
  <w:num w:numId="8">
    <w:abstractNumId w:val="29"/>
  </w:num>
  <w:num w:numId="9">
    <w:abstractNumId w:val="16"/>
  </w:num>
  <w:num w:numId="10">
    <w:abstractNumId w:val="8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6"/>
  </w:num>
  <w:num w:numId="16">
    <w:abstractNumId w:val="3"/>
  </w:num>
  <w:num w:numId="17">
    <w:abstractNumId w:val="18"/>
  </w:num>
  <w:num w:numId="18">
    <w:abstractNumId w:val="33"/>
  </w:num>
  <w:num w:numId="19">
    <w:abstractNumId w:val="10"/>
  </w:num>
  <w:num w:numId="20">
    <w:abstractNumId w:val="25"/>
  </w:num>
  <w:num w:numId="21">
    <w:abstractNumId w:val="31"/>
  </w:num>
  <w:num w:numId="22">
    <w:abstractNumId w:val="12"/>
  </w:num>
  <w:num w:numId="23">
    <w:abstractNumId w:val="9"/>
  </w:num>
  <w:num w:numId="24">
    <w:abstractNumId w:val="32"/>
  </w:num>
  <w:num w:numId="25">
    <w:abstractNumId w:val="14"/>
  </w:num>
  <w:num w:numId="26">
    <w:abstractNumId w:val="4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6"/>
  </w:num>
  <w:num w:numId="32">
    <w:abstractNumId w:val="37"/>
  </w:num>
  <w:num w:numId="33">
    <w:abstractNumId w:val="11"/>
  </w:num>
  <w:num w:numId="34">
    <w:abstractNumId w:val="2"/>
  </w:num>
  <w:num w:numId="35">
    <w:abstractNumId w:val="27"/>
  </w:num>
  <w:num w:numId="36">
    <w:abstractNumId w:val="30"/>
  </w:num>
  <w:num w:numId="37">
    <w:abstractNumId w:val="0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0571"/>
    <w:rsid w:val="00034730"/>
    <w:rsid w:val="000350F2"/>
    <w:rsid w:val="0004519C"/>
    <w:rsid w:val="0004583E"/>
    <w:rsid w:val="00047E3F"/>
    <w:rsid w:val="0006648F"/>
    <w:rsid w:val="00073701"/>
    <w:rsid w:val="0007480D"/>
    <w:rsid w:val="00076645"/>
    <w:rsid w:val="00080E76"/>
    <w:rsid w:val="000846D6"/>
    <w:rsid w:val="0008706F"/>
    <w:rsid w:val="00087A28"/>
    <w:rsid w:val="00095FA6"/>
    <w:rsid w:val="000A0629"/>
    <w:rsid w:val="000A0E94"/>
    <w:rsid w:val="000A35C6"/>
    <w:rsid w:val="000A6913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16981"/>
    <w:rsid w:val="0012306F"/>
    <w:rsid w:val="00125E46"/>
    <w:rsid w:val="0012723C"/>
    <w:rsid w:val="00132A48"/>
    <w:rsid w:val="00134D8D"/>
    <w:rsid w:val="00136A97"/>
    <w:rsid w:val="00137365"/>
    <w:rsid w:val="00150E02"/>
    <w:rsid w:val="00160969"/>
    <w:rsid w:val="00160F21"/>
    <w:rsid w:val="0016537A"/>
    <w:rsid w:val="001658B6"/>
    <w:rsid w:val="001665CA"/>
    <w:rsid w:val="00171A70"/>
    <w:rsid w:val="0017272D"/>
    <w:rsid w:val="00175FCC"/>
    <w:rsid w:val="00177526"/>
    <w:rsid w:val="0018425C"/>
    <w:rsid w:val="001956F0"/>
    <w:rsid w:val="001A3E9A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14C99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0552"/>
    <w:rsid w:val="00262C31"/>
    <w:rsid w:val="002638DC"/>
    <w:rsid w:val="00263CE0"/>
    <w:rsid w:val="002678E9"/>
    <w:rsid w:val="00282909"/>
    <w:rsid w:val="00292D76"/>
    <w:rsid w:val="002931EA"/>
    <w:rsid w:val="00293C10"/>
    <w:rsid w:val="00297C2A"/>
    <w:rsid w:val="002A097A"/>
    <w:rsid w:val="002A66A2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23D1E"/>
    <w:rsid w:val="00330ACB"/>
    <w:rsid w:val="00331394"/>
    <w:rsid w:val="003317A8"/>
    <w:rsid w:val="003353C5"/>
    <w:rsid w:val="003408DF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87CFC"/>
    <w:rsid w:val="003910F3"/>
    <w:rsid w:val="00394AAD"/>
    <w:rsid w:val="0039752D"/>
    <w:rsid w:val="003A0397"/>
    <w:rsid w:val="003A4DD4"/>
    <w:rsid w:val="003A6E33"/>
    <w:rsid w:val="003B16F9"/>
    <w:rsid w:val="003C3EF6"/>
    <w:rsid w:val="003C4E26"/>
    <w:rsid w:val="003C56E7"/>
    <w:rsid w:val="003D05D3"/>
    <w:rsid w:val="003D120B"/>
    <w:rsid w:val="003D4CCB"/>
    <w:rsid w:val="003D5759"/>
    <w:rsid w:val="003E45AC"/>
    <w:rsid w:val="003F3300"/>
    <w:rsid w:val="00405D3E"/>
    <w:rsid w:val="00405E4F"/>
    <w:rsid w:val="00411497"/>
    <w:rsid w:val="00414F4B"/>
    <w:rsid w:val="00415E7F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1BBC"/>
    <w:rsid w:val="004A5A1A"/>
    <w:rsid w:val="004B0960"/>
    <w:rsid w:val="004B5D5B"/>
    <w:rsid w:val="004B7829"/>
    <w:rsid w:val="004C0C7A"/>
    <w:rsid w:val="004C0F5B"/>
    <w:rsid w:val="004C7BB7"/>
    <w:rsid w:val="004D28D9"/>
    <w:rsid w:val="004D37D9"/>
    <w:rsid w:val="004D3D04"/>
    <w:rsid w:val="004D6AA7"/>
    <w:rsid w:val="004D7D44"/>
    <w:rsid w:val="004E1A0F"/>
    <w:rsid w:val="004E1C64"/>
    <w:rsid w:val="004E717F"/>
    <w:rsid w:val="004F21A0"/>
    <w:rsid w:val="004F4242"/>
    <w:rsid w:val="00500B8F"/>
    <w:rsid w:val="005104C5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C4720"/>
    <w:rsid w:val="005D4099"/>
    <w:rsid w:val="005D5806"/>
    <w:rsid w:val="005D5F5A"/>
    <w:rsid w:val="005E629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A389B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048C7"/>
    <w:rsid w:val="0072243C"/>
    <w:rsid w:val="007237FA"/>
    <w:rsid w:val="00732A91"/>
    <w:rsid w:val="00735F5B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46EB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1CC4"/>
    <w:rsid w:val="00801DF9"/>
    <w:rsid w:val="00806C5D"/>
    <w:rsid w:val="00820463"/>
    <w:rsid w:val="00821486"/>
    <w:rsid w:val="00826D70"/>
    <w:rsid w:val="008271A8"/>
    <w:rsid w:val="00833527"/>
    <w:rsid w:val="008356F3"/>
    <w:rsid w:val="00836810"/>
    <w:rsid w:val="00843FE7"/>
    <w:rsid w:val="00844E1C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0744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45DB2"/>
    <w:rsid w:val="00962B37"/>
    <w:rsid w:val="009630CC"/>
    <w:rsid w:val="0096330D"/>
    <w:rsid w:val="00970EB1"/>
    <w:rsid w:val="00971A5E"/>
    <w:rsid w:val="00973632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0B5A"/>
    <w:rsid w:val="009D264E"/>
    <w:rsid w:val="009D3593"/>
    <w:rsid w:val="009E1FC3"/>
    <w:rsid w:val="009E46C4"/>
    <w:rsid w:val="009E586C"/>
    <w:rsid w:val="009F59E4"/>
    <w:rsid w:val="009F5B42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07CC"/>
    <w:rsid w:val="00A4326A"/>
    <w:rsid w:val="00A44F1C"/>
    <w:rsid w:val="00A46A0C"/>
    <w:rsid w:val="00A51FA1"/>
    <w:rsid w:val="00A54EF3"/>
    <w:rsid w:val="00A57894"/>
    <w:rsid w:val="00A57F7F"/>
    <w:rsid w:val="00A653B2"/>
    <w:rsid w:val="00A74BE1"/>
    <w:rsid w:val="00A83836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21AA"/>
    <w:rsid w:val="00B037A9"/>
    <w:rsid w:val="00B03FED"/>
    <w:rsid w:val="00B05D99"/>
    <w:rsid w:val="00B12957"/>
    <w:rsid w:val="00B15587"/>
    <w:rsid w:val="00B16DFF"/>
    <w:rsid w:val="00B22E7C"/>
    <w:rsid w:val="00B3093B"/>
    <w:rsid w:val="00B30C4A"/>
    <w:rsid w:val="00B33201"/>
    <w:rsid w:val="00B33603"/>
    <w:rsid w:val="00B341F1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39C9"/>
    <w:rsid w:val="00BC1493"/>
    <w:rsid w:val="00BC78FF"/>
    <w:rsid w:val="00BD0F2B"/>
    <w:rsid w:val="00BD29EF"/>
    <w:rsid w:val="00BD4300"/>
    <w:rsid w:val="00BE28D8"/>
    <w:rsid w:val="00BE379B"/>
    <w:rsid w:val="00BE7E1C"/>
    <w:rsid w:val="00BF2BCE"/>
    <w:rsid w:val="00C00762"/>
    <w:rsid w:val="00C05B41"/>
    <w:rsid w:val="00C068DB"/>
    <w:rsid w:val="00C07FF8"/>
    <w:rsid w:val="00C14F52"/>
    <w:rsid w:val="00C153DF"/>
    <w:rsid w:val="00C1754E"/>
    <w:rsid w:val="00C23B65"/>
    <w:rsid w:val="00C30408"/>
    <w:rsid w:val="00C335FE"/>
    <w:rsid w:val="00C3365A"/>
    <w:rsid w:val="00C36CC2"/>
    <w:rsid w:val="00C44094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A22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4CF"/>
    <w:rsid w:val="00D35718"/>
    <w:rsid w:val="00D40AC5"/>
    <w:rsid w:val="00D43B6D"/>
    <w:rsid w:val="00D51191"/>
    <w:rsid w:val="00D56177"/>
    <w:rsid w:val="00D60729"/>
    <w:rsid w:val="00D65151"/>
    <w:rsid w:val="00D66F40"/>
    <w:rsid w:val="00D7198E"/>
    <w:rsid w:val="00D744FA"/>
    <w:rsid w:val="00D8185C"/>
    <w:rsid w:val="00D82A4F"/>
    <w:rsid w:val="00D8605F"/>
    <w:rsid w:val="00D8690A"/>
    <w:rsid w:val="00D870FE"/>
    <w:rsid w:val="00D96149"/>
    <w:rsid w:val="00DA16E8"/>
    <w:rsid w:val="00DA36B9"/>
    <w:rsid w:val="00DA387D"/>
    <w:rsid w:val="00DA6CA7"/>
    <w:rsid w:val="00DB22E0"/>
    <w:rsid w:val="00DB7158"/>
    <w:rsid w:val="00DC0DCD"/>
    <w:rsid w:val="00DC4447"/>
    <w:rsid w:val="00DC4641"/>
    <w:rsid w:val="00DC65B3"/>
    <w:rsid w:val="00DD0C75"/>
    <w:rsid w:val="00DD1D74"/>
    <w:rsid w:val="00DD6727"/>
    <w:rsid w:val="00DF1738"/>
    <w:rsid w:val="00DF2601"/>
    <w:rsid w:val="00DF568B"/>
    <w:rsid w:val="00DF7A0C"/>
    <w:rsid w:val="00E052D5"/>
    <w:rsid w:val="00E072C0"/>
    <w:rsid w:val="00E07A3F"/>
    <w:rsid w:val="00E07EFB"/>
    <w:rsid w:val="00E11CD7"/>
    <w:rsid w:val="00E2022A"/>
    <w:rsid w:val="00E21E3C"/>
    <w:rsid w:val="00E22A8D"/>
    <w:rsid w:val="00E271FD"/>
    <w:rsid w:val="00E32003"/>
    <w:rsid w:val="00E36457"/>
    <w:rsid w:val="00E40457"/>
    <w:rsid w:val="00E44174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B7AEC"/>
    <w:rsid w:val="00EC18C3"/>
    <w:rsid w:val="00EC2402"/>
    <w:rsid w:val="00EC2B4D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1565"/>
    <w:rsid w:val="00F82EF1"/>
    <w:rsid w:val="00F84D65"/>
    <w:rsid w:val="00F8686B"/>
    <w:rsid w:val="00F906D0"/>
    <w:rsid w:val="00F9394B"/>
    <w:rsid w:val="00FA4096"/>
    <w:rsid w:val="00FA462B"/>
    <w:rsid w:val="00FA58FD"/>
    <w:rsid w:val="00FB1139"/>
    <w:rsid w:val="00FB2965"/>
    <w:rsid w:val="00FB33F8"/>
    <w:rsid w:val="00FC0DC5"/>
    <w:rsid w:val="00FC3EDE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paragraph" w:styleId="ListBullet">
    <w:name w:val="List Bullet"/>
    <w:basedOn w:val="Normal"/>
    <w:rsid w:val="00116981"/>
    <w:pPr>
      <w:numPr>
        <w:numId w:val="37"/>
      </w:num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F3EA7"/>
    <w:rsid w:val="00546548"/>
    <w:rsid w:val="005B3992"/>
    <w:rsid w:val="005E3561"/>
    <w:rsid w:val="00672DF4"/>
    <w:rsid w:val="00723E61"/>
    <w:rsid w:val="008638AA"/>
    <w:rsid w:val="0087154F"/>
    <w:rsid w:val="00871D0C"/>
    <w:rsid w:val="008F1F7B"/>
    <w:rsid w:val="008F5F77"/>
    <w:rsid w:val="009701B5"/>
    <w:rsid w:val="00A9166C"/>
    <w:rsid w:val="00AC054C"/>
    <w:rsid w:val="00AC0DBB"/>
    <w:rsid w:val="00B651C1"/>
    <w:rsid w:val="00BB64E1"/>
    <w:rsid w:val="00BE0041"/>
    <w:rsid w:val="00C36CDA"/>
    <w:rsid w:val="00D4302A"/>
    <w:rsid w:val="00D61375"/>
    <w:rsid w:val="00DB07EE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58152AFA-97AB-42A4-A2A8-4125EC38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4882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2017-02-16T19:32:00Z</dcterms:created>
  <dcterms:modified xsi:type="dcterms:W3CDTF">2017-08-23T20:50:00Z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