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224D1E" w:rsidRDefault="0017272D" w:rsidP="0017272D">
      <w:pPr>
        <w:pStyle w:val="Heading1"/>
        <w:spacing w:after="0"/>
        <w:rPr>
          <w:rFonts w:asciiTheme="majorHAnsi" w:hAnsiTheme="majorHAnsi" w:cstheme="majorHAnsi"/>
          <w:b w:val="0"/>
          <w:sz w:val="20"/>
          <w:szCs w:val="22"/>
        </w:rPr>
      </w:pPr>
      <w:bookmarkStart w:id="0" w:name="_Toc143586611"/>
      <w:r w:rsidRPr="00224D1E">
        <w:rPr>
          <w:rFonts w:asciiTheme="majorHAnsi" w:hAnsiTheme="majorHAnsi" w:cstheme="majorHAnsi"/>
          <w:b w:val="0"/>
          <w:sz w:val="20"/>
          <w:szCs w:val="22"/>
        </w:rPr>
        <w:t>POSITION DESCRIPTION</w:t>
      </w:r>
    </w:p>
    <w:p w:rsidR="00842C18" w:rsidRPr="00A72F2F" w:rsidRDefault="00842C18" w:rsidP="00842C18">
      <w:pPr>
        <w:keepNext/>
        <w:keepLines/>
        <w:pBdr>
          <w:bottom w:val="single" w:sz="4" w:space="1" w:color="003055" w:themeColor="text1"/>
        </w:pBdr>
        <w:tabs>
          <w:tab w:val="left" w:pos="4016"/>
        </w:tabs>
        <w:spacing w:before="120" w:after="120"/>
        <w:outlineLvl w:val="0"/>
        <w:rPr>
          <w:rFonts w:ascii="Arial" w:eastAsiaTheme="majorEastAsia" w:hAnsi="Arial" w:cstheme="majorBidi"/>
          <w:b/>
          <w:bCs/>
          <w:caps/>
          <w:sz w:val="26"/>
          <w:szCs w:val="24"/>
        </w:rPr>
      </w:pPr>
      <w:bookmarkStart w:id="1" w:name="_Toc465846439"/>
      <w:r w:rsidRPr="00A72F2F">
        <w:rPr>
          <w:rFonts w:ascii="Arial" w:eastAsiaTheme="majorEastAsia" w:hAnsi="Arial" w:cstheme="majorBidi"/>
          <w:b/>
          <w:bCs/>
          <w:caps/>
          <w:sz w:val="26"/>
          <w:szCs w:val="24"/>
        </w:rPr>
        <w:t>General Counsel, Department of the Treasury</w:t>
      </w:r>
      <w:bookmarkEnd w:id="1"/>
    </w:p>
    <w:p w:rsidR="00661AE5" w:rsidRPr="00224D1E"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17"/>
        <w:gridCol w:w="6845"/>
      </w:tblGrid>
      <w:tr w:rsidR="00577EB4" w:rsidRPr="002C3835" w:rsidTr="002C3835">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577EB4" w:rsidRPr="002C3835" w:rsidRDefault="00577EB4" w:rsidP="00B504DD">
            <w:pPr>
              <w:contextualSpacing/>
              <w:jc w:val="center"/>
              <w:rPr>
                <w:rFonts w:asciiTheme="majorHAnsi" w:hAnsiTheme="majorHAnsi" w:cstheme="majorHAnsi"/>
                <w:b/>
              </w:rPr>
            </w:pPr>
            <w:r w:rsidRPr="002C3835">
              <w:rPr>
                <w:rFonts w:asciiTheme="majorHAnsi" w:hAnsiTheme="majorHAnsi" w:cstheme="majorHAnsi"/>
                <w:b/>
              </w:rPr>
              <w:t>OVERVIEW</w:t>
            </w:r>
          </w:p>
        </w:tc>
      </w:tr>
      <w:tr w:rsidR="00577EB4" w:rsidRPr="002C3835" w:rsidTr="002C3835">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77EB4" w:rsidRPr="002C3835" w:rsidRDefault="00577EB4" w:rsidP="00B504DD">
            <w:pPr>
              <w:contextualSpacing/>
              <w:rPr>
                <w:rFonts w:asciiTheme="majorHAnsi" w:hAnsiTheme="majorHAnsi" w:cstheme="majorHAnsi"/>
              </w:rPr>
            </w:pPr>
            <w:r w:rsidRPr="002C3835">
              <w:rPr>
                <w:rFonts w:asciiTheme="majorHAnsi" w:hAnsiTheme="majorHAnsi" w:cstheme="majorHAnsi"/>
              </w:rPr>
              <w:t>Senate Committee</w:t>
            </w:r>
          </w:p>
        </w:tc>
        <w:tc>
          <w:tcPr>
            <w:tcW w:w="6845" w:type="dxa"/>
            <w:tcBorders>
              <w:top w:val="single" w:sz="2" w:space="0" w:color="auto"/>
              <w:left w:val="single" w:sz="2" w:space="0" w:color="auto"/>
              <w:bottom w:val="single" w:sz="2" w:space="0" w:color="auto"/>
              <w:right w:val="single" w:sz="2" w:space="0" w:color="auto"/>
            </w:tcBorders>
          </w:tcPr>
          <w:p w:rsidR="00577EB4" w:rsidRPr="002C3835" w:rsidRDefault="00577EB4" w:rsidP="00B504DD">
            <w:pPr>
              <w:contextualSpacing/>
              <w:rPr>
                <w:rFonts w:asciiTheme="majorHAnsi" w:hAnsiTheme="majorHAnsi" w:cstheme="majorHAnsi"/>
                <w:bCs/>
              </w:rPr>
            </w:pPr>
            <w:r w:rsidRPr="002C3835">
              <w:rPr>
                <w:rFonts w:asciiTheme="majorHAnsi" w:hAnsiTheme="majorHAnsi" w:cstheme="majorHAnsi"/>
                <w:bCs/>
              </w:rPr>
              <w:t>Finance</w:t>
            </w:r>
          </w:p>
        </w:tc>
      </w:tr>
      <w:tr w:rsidR="00577EB4" w:rsidRPr="002C3835" w:rsidTr="002C3835">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77EB4" w:rsidRPr="002C3835" w:rsidRDefault="00577EB4" w:rsidP="00B504DD">
            <w:pPr>
              <w:contextualSpacing/>
              <w:rPr>
                <w:rFonts w:asciiTheme="majorHAnsi" w:hAnsiTheme="majorHAnsi" w:cstheme="majorHAnsi"/>
              </w:rPr>
            </w:pPr>
            <w:r w:rsidRPr="002C3835">
              <w:rPr>
                <w:rFonts w:asciiTheme="majorHAnsi" w:hAnsiTheme="majorHAnsi" w:cstheme="majorHAnsi"/>
              </w:rPr>
              <w:t>Agency Mission</w:t>
            </w:r>
          </w:p>
        </w:tc>
        <w:tc>
          <w:tcPr>
            <w:tcW w:w="6845" w:type="dxa"/>
            <w:tcBorders>
              <w:top w:val="single" w:sz="2" w:space="0" w:color="auto"/>
              <w:left w:val="single" w:sz="2" w:space="0" w:color="auto"/>
              <w:bottom w:val="single" w:sz="2" w:space="0" w:color="auto"/>
              <w:right w:val="single" w:sz="2" w:space="0" w:color="auto"/>
            </w:tcBorders>
          </w:tcPr>
          <w:p w:rsidR="00577EB4" w:rsidRPr="002C3835" w:rsidRDefault="00577EB4" w:rsidP="00B504DD">
            <w:pPr>
              <w:contextualSpacing/>
              <w:rPr>
                <w:rFonts w:asciiTheme="majorHAnsi" w:hAnsiTheme="majorHAnsi" w:cstheme="majorHAnsi"/>
              </w:rPr>
            </w:pPr>
            <w:r w:rsidRPr="002C3835">
              <w:rPr>
                <w:rFonts w:asciiTheme="majorHAnsi" w:hAnsiTheme="majorHAnsi" w:cstheme="majorHAnsi"/>
                <w:bCs/>
              </w:rPr>
              <w:t>The Department of the Treasury is the executive agency responsible for promoting economic prosperity and ensuring the financial security of the United States.</w:t>
            </w:r>
          </w:p>
        </w:tc>
      </w:tr>
      <w:tr w:rsidR="00577EB4" w:rsidRPr="002C3835" w:rsidTr="002C3835">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77EB4" w:rsidRPr="002C3835" w:rsidRDefault="00577EB4" w:rsidP="00B504DD">
            <w:pPr>
              <w:contextualSpacing/>
              <w:rPr>
                <w:rFonts w:asciiTheme="majorHAnsi" w:hAnsiTheme="majorHAnsi" w:cstheme="majorHAnsi"/>
              </w:rPr>
            </w:pPr>
            <w:r w:rsidRPr="002C3835">
              <w:rPr>
                <w:rFonts w:asciiTheme="majorHAnsi" w:hAnsiTheme="majorHAnsi" w:cstheme="majorHAnsi"/>
              </w:rPr>
              <w:t>Position Overview</w:t>
            </w:r>
          </w:p>
        </w:tc>
        <w:tc>
          <w:tcPr>
            <w:tcW w:w="6845" w:type="dxa"/>
            <w:tcBorders>
              <w:top w:val="single" w:sz="2" w:space="0" w:color="auto"/>
              <w:left w:val="single" w:sz="2" w:space="0" w:color="auto"/>
              <w:bottom w:val="single" w:sz="2" w:space="0" w:color="auto"/>
              <w:right w:val="single" w:sz="2" w:space="0" w:color="auto"/>
            </w:tcBorders>
          </w:tcPr>
          <w:p w:rsidR="00577EB4" w:rsidRPr="002C3835" w:rsidRDefault="00577EB4" w:rsidP="00B504DD">
            <w:pPr>
              <w:contextualSpacing/>
              <w:rPr>
                <w:rFonts w:asciiTheme="majorHAnsi" w:hAnsiTheme="majorHAnsi" w:cstheme="majorHAnsi"/>
              </w:rPr>
            </w:pPr>
            <w:r w:rsidRPr="002C3835">
              <w:rPr>
                <w:rFonts w:asciiTheme="majorHAnsi" w:hAnsiTheme="majorHAnsi" w:cstheme="majorHAnsi"/>
              </w:rPr>
              <w:t xml:space="preserve">The General Counsel is the chief legal officer for the department and provides legal services for the secretary and all of the department's operating units. </w:t>
            </w:r>
          </w:p>
        </w:tc>
      </w:tr>
      <w:tr w:rsidR="00577EB4" w:rsidRPr="002C3835" w:rsidTr="002C3835">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77EB4" w:rsidRPr="002C3835" w:rsidRDefault="00577EB4" w:rsidP="00B504DD">
            <w:pPr>
              <w:contextualSpacing/>
              <w:rPr>
                <w:rFonts w:asciiTheme="majorHAnsi" w:hAnsiTheme="majorHAnsi" w:cstheme="majorHAnsi"/>
                <w:i/>
              </w:rPr>
            </w:pPr>
            <w:r w:rsidRPr="002C3835">
              <w:rPr>
                <w:rFonts w:asciiTheme="majorHAnsi" w:hAnsiTheme="majorHAnsi" w:cstheme="majorHAnsi"/>
              </w:rPr>
              <w:t>Compensation</w:t>
            </w:r>
          </w:p>
        </w:tc>
        <w:tc>
          <w:tcPr>
            <w:tcW w:w="6845" w:type="dxa"/>
            <w:tcBorders>
              <w:top w:val="single" w:sz="2" w:space="0" w:color="auto"/>
              <w:left w:val="single" w:sz="2" w:space="0" w:color="auto"/>
              <w:bottom w:val="single" w:sz="2" w:space="0" w:color="auto"/>
              <w:right w:val="single" w:sz="2" w:space="0" w:color="auto"/>
            </w:tcBorders>
            <w:shd w:val="clear" w:color="auto" w:fill="auto"/>
          </w:tcPr>
          <w:p w:rsidR="00577EB4" w:rsidRPr="002C3835" w:rsidRDefault="001605C7" w:rsidP="00680277">
            <w:pPr>
              <w:contextualSpacing/>
              <w:rPr>
                <w:rFonts w:asciiTheme="majorHAnsi" w:hAnsiTheme="majorHAnsi" w:cstheme="majorHAnsi"/>
                <w:bCs/>
              </w:rPr>
            </w:pPr>
            <w:r w:rsidRPr="002C3835">
              <w:rPr>
                <w:rFonts w:asciiTheme="majorHAnsi" w:hAnsiTheme="majorHAnsi" w:cstheme="majorHAnsi"/>
                <w:bCs/>
              </w:rPr>
              <w:t>Level IV $</w:t>
            </w:r>
            <w:r w:rsidR="00680277">
              <w:rPr>
                <w:rFonts w:asciiTheme="majorHAnsi" w:hAnsiTheme="majorHAnsi" w:cstheme="majorHAnsi"/>
                <w:bCs/>
              </w:rPr>
              <w:t>155,500</w:t>
            </w:r>
            <w:r w:rsidR="00577EB4" w:rsidRPr="002C3835">
              <w:rPr>
                <w:rFonts w:asciiTheme="majorHAnsi" w:hAnsiTheme="majorHAnsi" w:cstheme="majorHAnsi"/>
                <w:bCs/>
              </w:rPr>
              <w:t xml:space="preserve"> (5 U.S.C. § 5315)</w:t>
            </w:r>
            <w:r w:rsidR="002C3835" w:rsidRPr="002C3835">
              <w:rPr>
                <w:rStyle w:val="EndnoteReference"/>
                <w:rFonts w:asciiTheme="majorHAnsi" w:hAnsiTheme="majorHAnsi" w:cstheme="majorHAnsi"/>
                <w:bCs/>
              </w:rPr>
              <w:endnoteReference w:id="1"/>
            </w:r>
          </w:p>
        </w:tc>
      </w:tr>
      <w:tr w:rsidR="00577EB4" w:rsidRPr="002C3835" w:rsidTr="002C3835">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77EB4" w:rsidRPr="002C3835" w:rsidRDefault="00577EB4" w:rsidP="00B504DD">
            <w:pPr>
              <w:contextualSpacing/>
              <w:rPr>
                <w:rFonts w:asciiTheme="majorHAnsi" w:hAnsiTheme="majorHAnsi" w:cstheme="majorHAnsi"/>
              </w:rPr>
            </w:pPr>
            <w:r w:rsidRPr="002C3835">
              <w:rPr>
                <w:rFonts w:asciiTheme="majorHAnsi" w:hAnsiTheme="majorHAnsi" w:cstheme="majorHAnsi"/>
              </w:rPr>
              <w:t>Position Reports to</w:t>
            </w:r>
          </w:p>
        </w:tc>
        <w:tc>
          <w:tcPr>
            <w:tcW w:w="6845" w:type="dxa"/>
            <w:tcBorders>
              <w:top w:val="single" w:sz="2" w:space="0" w:color="auto"/>
              <w:left w:val="single" w:sz="2" w:space="0" w:color="auto"/>
              <w:bottom w:val="single" w:sz="2" w:space="0" w:color="auto"/>
              <w:right w:val="single" w:sz="2" w:space="0" w:color="auto"/>
            </w:tcBorders>
          </w:tcPr>
          <w:p w:rsidR="00577EB4" w:rsidRPr="002C3835" w:rsidRDefault="00577EB4" w:rsidP="00B504DD">
            <w:pPr>
              <w:contextualSpacing/>
              <w:rPr>
                <w:rFonts w:asciiTheme="majorHAnsi" w:hAnsiTheme="majorHAnsi" w:cstheme="majorHAnsi"/>
              </w:rPr>
            </w:pPr>
            <w:r w:rsidRPr="002C3835">
              <w:rPr>
                <w:rFonts w:asciiTheme="majorHAnsi" w:hAnsiTheme="majorHAnsi" w:cstheme="majorHAnsi"/>
              </w:rPr>
              <w:t>Secretary and Deputy Secretary of the Treasury</w:t>
            </w:r>
          </w:p>
        </w:tc>
      </w:tr>
      <w:tr w:rsidR="00577EB4" w:rsidRPr="002C3835" w:rsidTr="002C3835">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577EB4" w:rsidRPr="002C3835" w:rsidRDefault="00577EB4" w:rsidP="00B504DD">
            <w:pPr>
              <w:contextualSpacing/>
              <w:jc w:val="center"/>
              <w:rPr>
                <w:rFonts w:asciiTheme="majorHAnsi" w:hAnsiTheme="majorHAnsi" w:cstheme="majorHAnsi"/>
                <w:b/>
              </w:rPr>
            </w:pPr>
            <w:r w:rsidRPr="002C3835">
              <w:rPr>
                <w:rFonts w:asciiTheme="majorHAnsi" w:hAnsiTheme="majorHAnsi" w:cstheme="majorHAnsi"/>
                <w:b/>
              </w:rPr>
              <w:t>RESPONSIBILITIES</w:t>
            </w:r>
          </w:p>
        </w:tc>
      </w:tr>
      <w:tr w:rsidR="00577EB4" w:rsidRPr="002C3835" w:rsidTr="002C3835">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77EB4" w:rsidRPr="002C3835" w:rsidRDefault="00577EB4" w:rsidP="00B504DD">
            <w:pPr>
              <w:contextualSpacing/>
              <w:rPr>
                <w:rFonts w:asciiTheme="majorHAnsi" w:hAnsiTheme="majorHAnsi" w:cstheme="majorHAnsi"/>
              </w:rPr>
            </w:pPr>
            <w:r w:rsidRPr="002C3835">
              <w:rPr>
                <w:rFonts w:asciiTheme="majorHAnsi" w:hAnsiTheme="majorHAnsi" w:cstheme="majorHAnsi"/>
              </w:rPr>
              <w:t>Management Scope</w:t>
            </w:r>
          </w:p>
        </w:tc>
        <w:tc>
          <w:tcPr>
            <w:tcW w:w="6845" w:type="dxa"/>
            <w:tcBorders>
              <w:top w:val="single" w:sz="2" w:space="0" w:color="auto"/>
              <w:left w:val="single" w:sz="2" w:space="0" w:color="auto"/>
              <w:bottom w:val="single" w:sz="2" w:space="0" w:color="auto"/>
              <w:right w:val="single" w:sz="2" w:space="0" w:color="auto"/>
            </w:tcBorders>
          </w:tcPr>
          <w:p w:rsidR="00577EB4" w:rsidRPr="002C3835" w:rsidRDefault="00577EB4" w:rsidP="00B504DD">
            <w:pPr>
              <w:contextualSpacing/>
              <w:rPr>
                <w:rFonts w:asciiTheme="majorHAnsi" w:hAnsiTheme="majorHAnsi" w:cstheme="majorHAnsi"/>
                <w:bCs/>
              </w:rPr>
            </w:pPr>
            <w:r w:rsidRPr="002C3835">
              <w:rPr>
                <w:rFonts w:asciiTheme="majorHAnsi" w:hAnsiTheme="majorHAnsi" w:cstheme="majorHAnsi"/>
                <w:bCs/>
              </w:rPr>
              <w:t>​In fiscal 2015, the department had $485,623 million in outlays and 84,050 total employment. The Office of General Counsel provides legal and policy advice to the secretary and other senior departmental officials. The General Counsel also is the head of the Treasury Legal Division, a separate bureau within the department that is composed of approximately 2,000 attorneys and 1,500 support staff located in Treasury offices and bureaus.</w:t>
            </w:r>
            <w:r w:rsidRPr="002C3835">
              <w:rPr>
                <w:rFonts w:asciiTheme="majorHAnsi" w:hAnsiTheme="majorHAnsi" w:cstheme="majorHAnsi"/>
              </w:rPr>
              <w:t xml:space="preserve"> The Office of General Counsel includes two general counsels, four principal assistant general counsels and three principal tax counsels. The Legal Division is made up of the Office of General Counsel and the chief counsels of Treasury’s bureaus, excluding the Office of the Comptroller of the Currency.</w:t>
            </w:r>
          </w:p>
        </w:tc>
      </w:tr>
      <w:tr w:rsidR="00577EB4" w:rsidRPr="002C3835" w:rsidTr="002C3835">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577EB4" w:rsidRPr="002C3835" w:rsidRDefault="00577EB4" w:rsidP="00B504DD">
            <w:pPr>
              <w:contextualSpacing/>
              <w:rPr>
                <w:rFonts w:asciiTheme="majorHAnsi" w:hAnsiTheme="majorHAnsi" w:cstheme="majorHAnsi"/>
              </w:rPr>
            </w:pPr>
            <w:r w:rsidRPr="002C3835">
              <w:rPr>
                <w:rFonts w:asciiTheme="majorHAnsi" w:hAnsiTheme="majorHAnsi" w:cstheme="majorHAnsi"/>
              </w:rPr>
              <w:t>Primary Responsibilities</w:t>
            </w:r>
          </w:p>
        </w:tc>
        <w:tc>
          <w:tcPr>
            <w:tcW w:w="6845" w:type="dxa"/>
            <w:tcBorders>
              <w:top w:val="single" w:sz="2" w:space="0" w:color="auto"/>
              <w:left w:val="single" w:sz="2" w:space="0" w:color="auto"/>
              <w:bottom w:val="single" w:sz="2" w:space="0" w:color="auto"/>
              <w:right w:val="single" w:sz="2" w:space="0" w:color="auto"/>
            </w:tcBorders>
          </w:tcPr>
          <w:p w:rsidR="00577EB4" w:rsidRPr="002C3835" w:rsidRDefault="00577EB4" w:rsidP="00577EB4">
            <w:pPr>
              <w:numPr>
                <w:ilvl w:val="0"/>
                <w:numId w:val="43"/>
              </w:numPr>
              <w:ind w:left="432"/>
              <w:contextualSpacing/>
              <w:rPr>
                <w:rFonts w:asciiTheme="majorHAnsi" w:eastAsia="Calibri" w:hAnsiTheme="majorHAnsi" w:cstheme="majorHAnsi"/>
              </w:rPr>
            </w:pPr>
            <w:r w:rsidRPr="002C3835">
              <w:rPr>
                <w:rFonts w:asciiTheme="majorHAnsi" w:eastAsia="Calibri" w:hAnsiTheme="majorHAnsi" w:cstheme="majorHAnsi"/>
              </w:rPr>
              <w:t xml:space="preserve">Serves as the chief legal officer of the department and as the senior legal adviser to </w:t>
            </w:r>
            <w:proofErr w:type="spellStart"/>
            <w:r w:rsidRPr="002C3835">
              <w:rPr>
                <w:rFonts w:asciiTheme="majorHAnsi" w:eastAsia="Calibri" w:hAnsiTheme="majorHAnsi" w:cstheme="majorHAnsi"/>
              </w:rPr>
              <w:t>theSsecretary</w:t>
            </w:r>
            <w:proofErr w:type="spellEnd"/>
            <w:r w:rsidRPr="002C3835">
              <w:rPr>
                <w:rFonts w:asciiTheme="majorHAnsi" w:eastAsia="Calibri" w:hAnsiTheme="majorHAnsi" w:cstheme="majorHAnsi"/>
              </w:rPr>
              <w:t>, the Deputy Secretary and other senior departmental officials</w:t>
            </w:r>
          </w:p>
          <w:p w:rsidR="00577EB4" w:rsidRPr="002C3835" w:rsidRDefault="00577EB4" w:rsidP="00577EB4">
            <w:pPr>
              <w:numPr>
                <w:ilvl w:val="0"/>
                <w:numId w:val="43"/>
              </w:numPr>
              <w:ind w:left="432"/>
              <w:contextualSpacing/>
              <w:rPr>
                <w:rFonts w:asciiTheme="majorHAnsi" w:eastAsia="Calibri" w:hAnsiTheme="majorHAnsi" w:cstheme="majorHAnsi"/>
              </w:rPr>
            </w:pPr>
            <w:r w:rsidRPr="002C3835">
              <w:rPr>
                <w:rFonts w:asciiTheme="majorHAnsi" w:eastAsia="Calibri" w:hAnsiTheme="majorHAnsi" w:cstheme="majorHAnsi"/>
              </w:rPr>
              <w:t>Heads the Treasury Legal Division and, as such, has responsibility for all legal work in the department</w:t>
            </w:r>
          </w:p>
          <w:p w:rsidR="00577EB4" w:rsidRPr="002C3835" w:rsidRDefault="00577EB4" w:rsidP="00577EB4">
            <w:pPr>
              <w:numPr>
                <w:ilvl w:val="0"/>
                <w:numId w:val="43"/>
              </w:numPr>
              <w:ind w:left="432"/>
              <w:contextualSpacing/>
              <w:rPr>
                <w:rFonts w:asciiTheme="majorHAnsi" w:eastAsia="Calibri" w:hAnsiTheme="majorHAnsi" w:cstheme="majorHAnsi"/>
              </w:rPr>
            </w:pPr>
            <w:r w:rsidRPr="002C3835">
              <w:rPr>
                <w:rFonts w:asciiTheme="majorHAnsi" w:eastAsia="Calibri" w:hAnsiTheme="majorHAnsi" w:cstheme="majorHAnsi"/>
              </w:rPr>
              <w:t>Major program areas include banking and finance; enforcement and intelligence; general law, ethics and regulation; international affairs; and tax</w:t>
            </w:r>
          </w:p>
        </w:tc>
      </w:tr>
      <w:tr w:rsidR="0038078D" w:rsidRPr="002C3835" w:rsidTr="002C3835">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078D" w:rsidRPr="002C3835" w:rsidRDefault="0038078D" w:rsidP="0038078D">
            <w:pPr>
              <w:contextualSpacing/>
              <w:rPr>
                <w:rFonts w:asciiTheme="majorHAnsi" w:hAnsiTheme="majorHAnsi" w:cstheme="majorHAnsi"/>
              </w:rPr>
            </w:pPr>
            <w:r w:rsidRPr="002C3835">
              <w:rPr>
                <w:rFonts w:asciiTheme="majorHAnsi" w:hAnsiTheme="majorHAnsi" w:cstheme="majorHAnsi"/>
              </w:rPr>
              <w:t>Strategic Goals and Priorities</w:t>
            </w:r>
          </w:p>
        </w:tc>
        <w:tc>
          <w:tcPr>
            <w:tcW w:w="6845" w:type="dxa"/>
            <w:tcBorders>
              <w:top w:val="single" w:sz="2" w:space="0" w:color="auto"/>
              <w:left w:val="single" w:sz="2" w:space="0" w:color="auto"/>
              <w:bottom w:val="single" w:sz="2" w:space="0" w:color="auto"/>
              <w:right w:val="single" w:sz="2" w:space="0" w:color="auto"/>
            </w:tcBorders>
            <w:vAlign w:val="center"/>
          </w:tcPr>
          <w:p w:rsidR="0038078D" w:rsidRPr="002C3835" w:rsidRDefault="0038078D" w:rsidP="0038078D">
            <w:pPr>
              <w:ind w:left="72"/>
              <w:contextualSpacing/>
              <w:jc w:val="center"/>
              <w:rPr>
                <w:rFonts w:asciiTheme="majorHAnsi" w:hAnsiTheme="majorHAnsi" w:cstheme="majorHAnsi"/>
              </w:rPr>
            </w:pPr>
          </w:p>
          <w:p w:rsidR="0038078D" w:rsidRPr="002C3835" w:rsidRDefault="0038078D" w:rsidP="0038078D">
            <w:pPr>
              <w:ind w:left="72"/>
              <w:contextualSpacing/>
              <w:jc w:val="center"/>
              <w:rPr>
                <w:rFonts w:asciiTheme="majorHAnsi" w:hAnsiTheme="majorHAnsi" w:cstheme="majorHAnsi"/>
              </w:rPr>
            </w:pPr>
          </w:p>
          <w:p w:rsidR="0038078D" w:rsidRPr="002C3835" w:rsidRDefault="0038078D" w:rsidP="0038078D">
            <w:pPr>
              <w:ind w:left="72"/>
              <w:contextualSpacing/>
              <w:jc w:val="center"/>
              <w:rPr>
                <w:rFonts w:asciiTheme="majorHAnsi" w:hAnsiTheme="majorHAnsi" w:cstheme="majorHAnsi"/>
              </w:rPr>
            </w:pPr>
            <w:r w:rsidRPr="002C3835">
              <w:rPr>
                <w:rFonts w:asciiTheme="majorHAnsi" w:hAnsiTheme="majorHAnsi" w:cstheme="majorHAnsi"/>
              </w:rPr>
              <w:t>Depends on the policy priorities of the administration</w:t>
            </w:r>
          </w:p>
          <w:p w:rsidR="0038078D" w:rsidRPr="002C3835" w:rsidRDefault="0038078D" w:rsidP="0038078D">
            <w:pPr>
              <w:ind w:left="72"/>
              <w:contextualSpacing/>
              <w:jc w:val="center"/>
              <w:rPr>
                <w:rFonts w:asciiTheme="majorHAnsi" w:hAnsiTheme="majorHAnsi" w:cstheme="majorHAnsi"/>
              </w:rPr>
            </w:pPr>
          </w:p>
          <w:p w:rsidR="0038078D" w:rsidRPr="002C3835" w:rsidRDefault="0038078D" w:rsidP="0038078D">
            <w:pPr>
              <w:contextualSpacing/>
              <w:rPr>
                <w:rFonts w:asciiTheme="majorHAnsi" w:hAnsiTheme="majorHAnsi" w:cstheme="majorHAnsi"/>
              </w:rPr>
            </w:pPr>
          </w:p>
        </w:tc>
      </w:tr>
      <w:tr w:rsidR="00684398" w:rsidRPr="002C3835" w:rsidTr="002C3835">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2C3835" w:rsidRDefault="00684398" w:rsidP="00684398">
            <w:pPr>
              <w:jc w:val="center"/>
              <w:rPr>
                <w:rFonts w:asciiTheme="majorHAnsi" w:hAnsiTheme="majorHAnsi" w:cstheme="majorHAnsi"/>
                <w:b/>
              </w:rPr>
            </w:pPr>
            <w:r w:rsidRPr="002C3835">
              <w:rPr>
                <w:rFonts w:asciiTheme="majorHAnsi" w:hAnsiTheme="majorHAnsi" w:cstheme="majorHAnsi"/>
                <w:b/>
              </w:rPr>
              <w:t>REQUIREMENTS AND COMPETENCIES</w:t>
            </w:r>
          </w:p>
        </w:tc>
      </w:tr>
      <w:tr w:rsidR="0038078D" w:rsidRPr="002C3835" w:rsidTr="002C3835">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078D" w:rsidRPr="002C3835" w:rsidRDefault="0038078D" w:rsidP="0038078D">
            <w:pPr>
              <w:contextualSpacing/>
              <w:rPr>
                <w:rFonts w:asciiTheme="majorHAnsi" w:hAnsiTheme="majorHAnsi" w:cstheme="majorHAnsi"/>
              </w:rPr>
            </w:pPr>
            <w:r w:rsidRPr="002C3835">
              <w:rPr>
                <w:rFonts w:asciiTheme="majorHAnsi" w:hAnsiTheme="majorHAnsi" w:cstheme="majorHAnsi"/>
              </w:rPr>
              <w:lastRenderedPageBreak/>
              <w:t>Requirements</w:t>
            </w:r>
          </w:p>
        </w:tc>
        <w:tc>
          <w:tcPr>
            <w:tcW w:w="6845" w:type="dxa"/>
            <w:tcBorders>
              <w:top w:val="single" w:sz="2" w:space="0" w:color="auto"/>
              <w:left w:val="single" w:sz="2" w:space="0" w:color="auto"/>
              <w:bottom w:val="single" w:sz="2" w:space="0" w:color="auto"/>
              <w:right w:val="single" w:sz="2" w:space="0" w:color="auto"/>
            </w:tcBorders>
          </w:tcPr>
          <w:p w:rsidR="0038078D" w:rsidRPr="002C3835" w:rsidRDefault="0038078D" w:rsidP="0038078D">
            <w:pPr>
              <w:numPr>
                <w:ilvl w:val="0"/>
                <w:numId w:val="42"/>
              </w:numPr>
              <w:ind w:left="438"/>
              <w:contextualSpacing/>
              <w:rPr>
                <w:rFonts w:asciiTheme="majorHAnsi" w:eastAsia="Calibri" w:hAnsiTheme="majorHAnsi" w:cstheme="majorHAnsi"/>
              </w:rPr>
            </w:pPr>
            <w:r w:rsidRPr="002C3835">
              <w:rPr>
                <w:rFonts w:asciiTheme="majorHAnsi" w:eastAsia="Calibri" w:hAnsiTheme="majorHAnsi" w:cstheme="majorHAnsi"/>
              </w:rPr>
              <w:t>Broad understanding of all aspects of the department’s activities, including the enforcement of immigration laws, the prevention of terrorism, the combating of the illegal movement of people and goods to and within the United States and the safeguarding and securing of cyberspace.</w:t>
            </w:r>
          </w:p>
          <w:p w:rsidR="0038078D" w:rsidRPr="002C3835" w:rsidRDefault="0038078D" w:rsidP="0038078D">
            <w:pPr>
              <w:numPr>
                <w:ilvl w:val="0"/>
                <w:numId w:val="42"/>
              </w:numPr>
              <w:ind w:left="438"/>
              <w:contextualSpacing/>
              <w:rPr>
                <w:rFonts w:asciiTheme="majorHAnsi" w:eastAsia="Calibri" w:hAnsiTheme="majorHAnsi" w:cstheme="majorHAnsi"/>
              </w:rPr>
            </w:pPr>
            <w:r w:rsidRPr="002C3835">
              <w:rPr>
                <w:rFonts w:asciiTheme="majorHAnsi" w:eastAsia="Calibri" w:hAnsiTheme="majorHAnsi" w:cstheme="majorHAnsi"/>
              </w:rPr>
              <w:t>Leadership and management experience</w:t>
            </w:r>
          </w:p>
        </w:tc>
      </w:tr>
      <w:tr w:rsidR="0038078D" w:rsidRPr="002C3835" w:rsidTr="002C3835">
        <w:tc>
          <w:tcPr>
            <w:tcW w:w="2617"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38078D" w:rsidRPr="002C3835" w:rsidRDefault="0038078D" w:rsidP="0038078D">
            <w:pPr>
              <w:contextualSpacing/>
              <w:rPr>
                <w:rFonts w:asciiTheme="majorHAnsi" w:hAnsiTheme="majorHAnsi" w:cstheme="majorHAnsi"/>
              </w:rPr>
            </w:pPr>
            <w:r w:rsidRPr="002C3835">
              <w:rPr>
                <w:rFonts w:asciiTheme="majorHAnsi" w:hAnsiTheme="majorHAnsi" w:cstheme="majorHAnsi"/>
              </w:rPr>
              <w:t>Competencies</w:t>
            </w:r>
          </w:p>
        </w:tc>
        <w:tc>
          <w:tcPr>
            <w:tcW w:w="6845" w:type="dxa"/>
            <w:tcBorders>
              <w:top w:val="single" w:sz="2" w:space="0" w:color="auto"/>
              <w:left w:val="single" w:sz="2" w:space="0" w:color="auto"/>
              <w:bottom w:val="single" w:sz="2" w:space="0" w:color="auto"/>
              <w:right w:val="single" w:sz="2" w:space="0" w:color="auto"/>
            </w:tcBorders>
          </w:tcPr>
          <w:p w:rsidR="0038078D" w:rsidRPr="002C3835" w:rsidRDefault="0038078D" w:rsidP="0038078D">
            <w:pPr>
              <w:numPr>
                <w:ilvl w:val="0"/>
                <w:numId w:val="42"/>
              </w:numPr>
              <w:ind w:left="438"/>
              <w:contextualSpacing/>
              <w:rPr>
                <w:rFonts w:asciiTheme="majorHAnsi" w:eastAsia="Calibri" w:hAnsiTheme="majorHAnsi" w:cstheme="majorHAnsi"/>
              </w:rPr>
            </w:pPr>
            <w:r w:rsidRPr="002C3835">
              <w:rPr>
                <w:rFonts w:asciiTheme="majorHAnsi" w:eastAsia="Calibri" w:hAnsiTheme="majorHAnsi" w:cstheme="majorHAnsi"/>
                <w:i/>
              </w:rPr>
              <w:t>Collaboration &amp; Influencing</w:t>
            </w:r>
            <w:r w:rsidRPr="002C3835">
              <w:rPr>
                <w:rFonts w:asciiTheme="majorHAnsi" w:eastAsia="Calibri" w:hAnsiTheme="majorHAnsi" w:cstheme="majorHAnsi"/>
              </w:rPr>
              <w:t xml:space="preserve">: Works effectively with peers, partners and others who are not in the line of command.  </w:t>
            </w:r>
          </w:p>
          <w:p w:rsidR="0038078D" w:rsidRPr="002C3835" w:rsidRDefault="0038078D" w:rsidP="0038078D">
            <w:pPr>
              <w:numPr>
                <w:ilvl w:val="0"/>
                <w:numId w:val="42"/>
              </w:numPr>
              <w:ind w:left="438"/>
              <w:contextualSpacing/>
              <w:rPr>
                <w:rFonts w:asciiTheme="majorHAnsi" w:eastAsia="Calibri" w:hAnsiTheme="majorHAnsi" w:cstheme="majorHAnsi"/>
              </w:rPr>
            </w:pPr>
            <w:r w:rsidRPr="002C3835">
              <w:rPr>
                <w:rFonts w:asciiTheme="majorHAnsi" w:eastAsia="Calibri" w:hAnsiTheme="majorHAnsi" w:cstheme="majorHAnsi"/>
                <w:i/>
              </w:rPr>
              <w:t>Strategic Orientation</w:t>
            </w:r>
            <w:r w:rsidRPr="002C3835">
              <w:rPr>
                <w:rFonts w:asciiTheme="majorHAnsi" w:eastAsia="Calibri" w:hAnsiTheme="majorHAnsi" w:cstheme="majorHAnsi"/>
              </w:rPr>
              <w:t xml:space="preserve">: Demonstrates complex thinking abilities, incorporating both analytical and conceptual abilities to manage and develop plans and strategies.  </w:t>
            </w:r>
          </w:p>
          <w:p w:rsidR="0038078D" w:rsidRPr="002C3835" w:rsidRDefault="0038078D" w:rsidP="0038078D">
            <w:pPr>
              <w:numPr>
                <w:ilvl w:val="0"/>
                <w:numId w:val="42"/>
              </w:numPr>
              <w:ind w:left="438"/>
              <w:contextualSpacing/>
              <w:rPr>
                <w:rFonts w:asciiTheme="majorHAnsi" w:eastAsia="Calibri" w:hAnsiTheme="majorHAnsi" w:cstheme="majorHAnsi"/>
              </w:rPr>
            </w:pPr>
            <w:r w:rsidRPr="002C3835">
              <w:rPr>
                <w:rFonts w:asciiTheme="majorHAnsi" w:eastAsia="Calibri" w:hAnsiTheme="majorHAnsi" w:cstheme="majorHAnsi"/>
                <w:i/>
              </w:rPr>
              <w:t>Results Orientation</w:t>
            </w:r>
            <w:r w:rsidRPr="002C3835">
              <w:rPr>
                <w:rFonts w:asciiTheme="majorHAnsi" w:eastAsia="Calibri" w:hAnsiTheme="majorHAnsi" w:cstheme="majorHAnsi"/>
              </w:rPr>
              <w:t>: Drives for improvement of results, as demonstrated by a track record of substantially enhancing the performance of the organization under this individual’s leadership. Sets appropriate metrics and tracks progress and results in line with the administration’s policy objectives.</w:t>
            </w:r>
          </w:p>
          <w:p w:rsidR="0038078D" w:rsidRPr="002C3835" w:rsidRDefault="0038078D" w:rsidP="0038078D">
            <w:pPr>
              <w:numPr>
                <w:ilvl w:val="0"/>
                <w:numId w:val="42"/>
              </w:numPr>
              <w:ind w:left="438"/>
              <w:contextualSpacing/>
              <w:rPr>
                <w:rFonts w:asciiTheme="majorHAnsi" w:eastAsia="Calibri" w:hAnsiTheme="majorHAnsi" w:cstheme="majorHAnsi"/>
                <w:i/>
              </w:rPr>
            </w:pPr>
            <w:r w:rsidRPr="002C3835">
              <w:rPr>
                <w:rFonts w:asciiTheme="majorHAnsi" w:eastAsia="Calibri" w:hAnsiTheme="majorHAnsi" w:cstheme="majorHAnsi"/>
                <w:i/>
              </w:rPr>
              <w:t>Team Leadership</w:t>
            </w:r>
            <w:r w:rsidRPr="002C3835">
              <w:rPr>
                <w:rFonts w:asciiTheme="majorHAnsi" w:eastAsia="Calibri" w:hAnsiTheme="majorHAnsi" w:cstheme="majorHAnsi"/>
              </w:rPr>
              <w:t xml:space="preserve">: Inspires teams to achieve excellence by attracting and developing exceptional talent in the organization. Fosters an environment of openness, respect and desire for achievement. </w:t>
            </w:r>
          </w:p>
        </w:tc>
      </w:tr>
      <w:tr w:rsidR="00684398" w:rsidRPr="002C3835" w:rsidTr="002C3835">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84398" w:rsidRPr="002C3835" w:rsidRDefault="00684398" w:rsidP="00684398">
            <w:pPr>
              <w:jc w:val="center"/>
              <w:rPr>
                <w:rFonts w:asciiTheme="majorHAnsi" w:hAnsiTheme="majorHAnsi" w:cstheme="majorHAnsi"/>
                <w:b/>
              </w:rPr>
            </w:pPr>
            <w:r w:rsidRPr="002C3835">
              <w:rPr>
                <w:rFonts w:asciiTheme="majorHAnsi" w:hAnsiTheme="majorHAnsi" w:cstheme="majorHAnsi"/>
                <w:b/>
              </w:rPr>
              <w:t>PAST APPOINTEES</w:t>
            </w:r>
          </w:p>
        </w:tc>
      </w:tr>
      <w:bookmarkEnd w:id="0"/>
      <w:tr w:rsidR="00577EB4" w:rsidRPr="002C3835" w:rsidTr="002C3835">
        <w:tc>
          <w:tcPr>
            <w:tcW w:w="9462" w:type="dxa"/>
            <w:gridSpan w:val="2"/>
          </w:tcPr>
          <w:p w:rsidR="00577EB4" w:rsidRPr="002C3835" w:rsidRDefault="00577EB4" w:rsidP="00FA50B1">
            <w:pPr>
              <w:contextualSpacing/>
              <w:rPr>
                <w:rFonts w:asciiTheme="majorHAnsi" w:hAnsiTheme="majorHAnsi" w:cstheme="majorHAnsi"/>
              </w:rPr>
            </w:pPr>
            <w:proofErr w:type="spellStart"/>
            <w:r w:rsidRPr="002C3835">
              <w:rPr>
                <w:rFonts w:asciiTheme="majorHAnsi" w:hAnsiTheme="majorHAnsi" w:cstheme="majorHAnsi"/>
              </w:rPr>
              <w:t>Priya</w:t>
            </w:r>
            <w:proofErr w:type="spellEnd"/>
            <w:r w:rsidRPr="002C3835">
              <w:rPr>
                <w:rFonts w:asciiTheme="majorHAnsi" w:hAnsiTheme="majorHAnsi" w:cstheme="majorHAnsi"/>
              </w:rPr>
              <w:t xml:space="preserve"> </w:t>
            </w:r>
            <w:proofErr w:type="spellStart"/>
            <w:r w:rsidRPr="002C3835">
              <w:rPr>
                <w:rFonts w:asciiTheme="majorHAnsi" w:hAnsiTheme="majorHAnsi" w:cstheme="majorHAnsi"/>
              </w:rPr>
              <w:t>Aiyar</w:t>
            </w:r>
            <w:proofErr w:type="spellEnd"/>
            <w:r w:rsidRPr="002C3835">
              <w:rPr>
                <w:rFonts w:asciiTheme="majorHAnsi" w:hAnsiTheme="majorHAnsi" w:cstheme="majorHAnsi"/>
              </w:rPr>
              <w:t xml:space="preserve"> (2015 – </w:t>
            </w:r>
            <w:r w:rsidR="00FA50B1">
              <w:rPr>
                <w:rFonts w:asciiTheme="majorHAnsi" w:hAnsiTheme="majorHAnsi" w:cstheme="majorHAnsi"/>
              </w:rPr>
              <w:t>2017</w:t>
            </w:r>
            <w:r w:rsidRPr="002C3835">
              <w:rPr>
                <w:rFonts w:asciiTheme="majorHAnsi" w:hAnsiTheme="majorHAnsi" w:cstheme="majorHAnsi"/>
              </w:rPr>
              <w:t xml:space="preserve">) (Acting), Deputy General Counsel at Department of Treasury; Deputy General Counsel at Department of Energy; Deputy Chief Counsel at National Commission on the BP Deepwater Horizon Oil Spill </w:t>
            </w:r>
          </w:p>
        </w:tc>
      </w:tr>
      <w:tr w:rsidR="00577EB4" w:rsidRPr="002C3835" w:rsidTr="002C3835">
        <w:tc>
          <w:tcPr>
            <w:tcW w:w="9462" w:type="dxa"/>
            <w:gridSpan w:val="2"/>
          </w:tcPr>
          <w:p w:rsidR="00577EB4" w:rsidRPr="002C3835" w:rsidRDefault="00577EB4" w:rsidP="00577EB4">
            <w:pPr>
              <w:contextualSpacing/>
              <w:rPr>
                <w:rFonts w:asciiTheme="majorHAnsi" w:hAnsiTheme="majorHAnsi" w:cstheme="majorHAnsi"/>
              </w:rPr>
            </w:pPr>
            <w:r w:rsidRPr="002C3835">
              <w:rPr>
                <w:rFonts w:asciiTheme="majorHAnsi" w:hAnsiTheme="majorHAnsi" w:cstheme="majorHAnsi"/>
                <w:bCs/>
              </w:rPr>
              <w:t>Christopher Meade, (2012 – 2015), Deputy General Counsel at Department of Treasury; Partner at Wilmer Cutler Pickering Hale &amp; Dorr LLP; Law clerk to Supreme Court Justice John Paul Stevens and to Judge Harry T. Edwards of the Court of Appeals for the DC Circuit</w:t>
            </w:r>
          </w:p>
        </w:tc>
      </w:tr>
      <w:tr w:rsidR="00577EB4" w:rsidRPr="002C3835" w:rsidTr="002C3835">
        <w:tc>
          <w:tcPr>
            <w:tcW w:w="9462" w:type="dxa"/>
            <w:gridSpan w:val="2"/>
          </w:tcPr>
          <w:p w:rsidR="00577EB4" w:rsidRPr="002C3835" w:rsidRDefault="00577EB4" w:rsidP="00577EB4">
            <w:pPr>
              <w:contextualSpacing/>
              <w:rPr>
                <w:rFonts w:asciiTheme="majorHAnsi" w:hAnsiTheme="majorHAnsi" w:cstheme="majorHAnsi"/>
              </w:rPr>
            </w:pPr>
            <w:r w:rsidRPr="002C3835">
              <w:rPr>
                <w:rFonts w:asciiTheme="majorHAnsi" w:hAnsiTheme="majorHAnsi" w:cstheme="majorHAnsi"/>
              </w:rPr>
              <w:t>George Madison (2009 – 2012), Executive Vice President and General Counsel at TIAA-CREF; Executive Vice President and General Counsel at Comerica Corporation; Partner at Mayer Brown</w:t>
            </w:r>
          </w:p>
        </w:tc>
      </w:tr>
    </w:tbl>
    <w:p w:rsidR="00C9072A" w:rsidRDefault="00C9072A" w:rsidP="00C9072A">
      <w:pPr>
        <w:pStyle w:val="Heading1"/>
        <w:rPr>
          <w:rFonts w:eastAsia="Times New Roman"/>
          <w:sz w:val="20"/>
          <w:szCs w:val="20"/>
        </w:rPr>
      </w:pPr>
      <w:r>
        <w:rPr>
          <w:rFonts w:eastAsia="Times New Roman"/>
          <w:sz w:val="20"/>
          <w:szCs w:val="20"/>
        </w:rPr>
        <w:t>Endnotes</w:t>
      </w:r>
    </w:p>
    <w:p w:rsidR="00224D1E" w:rsidRPr="002C3835" w:rsidRDefault="00C9072A">
      <w:pPr>
        <w:rPr>
          <w:rFonts w:eastAsiaTheme="minorHAnsi"/>
        </w:rPr>
      </w:pPr>
      <w:r>
        <w:rPr>
          <w:rFonts w:ascii="Arial" w:hAnsi="Arial" w:cs="Arial"/>
        </w:rPr>
        <w:t xml:space="preserve">This position description was created with the help of </w:t>
      </w:r>
      <w:proofErr w:type="spellStart"/>
      <w:r>
        <w:rPr>
          <w:rFonts w:ascii="Arial" w:hAnsi="Arial" w:cs="Arial"/>
        </w:rPr>
        <w:t>Egon</w:t>
      </w:r>
      <w:proofErr w:type="spellEnd"/>
      <w:r>
        <w:rPr>
          <w:rFonts w:ascii="Arial" w:hAnsi="Arial" w:cs="Arial"/>
        </w:rPr>
        <w:t xml:space="preserve"> </w:t>
      </w:r>
      <w:proofErr w:type="spellStart"/>
      <w:r>
        <w:rPr>
          <w:rFonts w:ascii="Arial" w:hAnsi="Arial" w:cs="Arial"/>
        </w:rPr>
        <w:t>Zehnder</w:t>
      </w:r>
      <w:proofErr w:type="spellEnd"/>
      <w:r>
        <w:rPr>
          <w:rFonts w:ascii="Arial" w:hAnsi="Arial" w:cs="Arial"/>
        </w:rPr>
        <w:t>, a global executive search firm.</w:t>
      </w:r>
    </w:p>
    <w:sectPr w:rsidR="00224D1E" w:rsidRPr="002C3835" w:rsidSect="008149B1">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77A" w:rsidRDefault="00ED377A" w:rsidP="001E22F1">
      <w:r>
        <w:separator/>
      </w:r>
    </w:p>
  </w:endnote>
  <w:endnote w:type="continuationSeparator" w:id="0">
    <w:p w:rsidR="00ED377A" w:rsidRDefault="00ED377A" w:rsidP="001E22F1">
      <w:r>
        <w:continuationSeparator/>
      </w:r>
    </w:p>
  </w:endnote>
  <w:endnote w:id="1">
    <w:p w:rsidR="002C3835" w:rsidRDefault="002C3835">
      <w:pPr>
        <w:pStyle w:val="EndnoteText"/>
      </w:pPr>
      <w:r>
        <w:rPr>
          <w:rStyle w:val="EndnoteReference"/>
        </w:rPr>
        <w:endnoteRef/>
      </w:r>
      <w:r>
        <w:t xml:space="preserve"> </w:t>
      </w:r>
      <w:r w:rsidR="00680277">
        <w:t>The Consolidated Appropriations Act, 2017 (Public Law 115-31, May 5, 2017), contains a provision that continues the freeze on the payable pay rates for certain senior political officials at 2013 levels during calendar year 2017.</w:t>
      </w:r>
      <w:bookmarkStart w:id="2" w:name="_GoBack"/>
      <w:bookmarkEnd w:id="2"/>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49B1">
      <w:rPr>
        <w:rStyle w:val="PageNumber"/>
        <w:noProof/>
      </w:rPr>
      <w:t>2</w:t>
    </w:r>
    <w:r>
      <w:rPr>
        <w:rStyle w:val="PageNumber"/>
      </w:rPr>
      <w:fldChar w:fldCharType="end"/>
    </w:r>
  </w:p>
  <w:p w:rsidR="00B30DE2" w:rsidRDefault="00B30DE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Default="00B30DE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30DE2" w:rsidRDefault="00B30DE2" w:rsidP="009630CC">
    <w:pPr>
      <w:pStyle w:val="TGAppendixBodyHeaders"/>
      <w:pBdr>
        <w:top w:val="single" w:sz="2" w:space="10" w:color="auto"/>
      </w:pBdr>
      <w:ind w:left="40"/>
      <w:rPr>
        <w:rFonts w:ascii="Arial" w:hAnsi="Arial" w:cs="Arial"/>
      </w:rPr>
    </w:pPr>
  </w:p>
  <w:p w:rsidR="00B30DE2" w:rsidRPr="009630CC" w:rsidRDefault="00B30DE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30DE2" w:rsidRPr="009630CC" w:rsidRDefault="00B30DE2" w:rsidP="009630CC">
    <w:pPr>
      <w:pStyle w:val="TGAppendixBodyHeaders"/>
      <w:pBdr>
        <w:top w:val="single" w:sz="2" w:space="10" w:color="auto"/>
      </w:pBdr>
      <w:ind w:left="40"/>
      <w:rPr>
        <w:rFonts w:ascii="Arial" w:hAnsi="Arial" w:cs="Arial"/>
      </w:rPr>
    </w:pPr>
  </w:p>
  <w:p w:rsidR="00B30DE2" w:rsidRPr="00B64A22" w:rsidRDefault="00B30DE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B64A22" w:rsidRDefault="00B30DE2"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77A" w:rsidRDefault="00ED377A" w:rsidP="001E22F1">
      <w:r>
        <w:separator/>
      </w:r>
    </w:p>
  </w:footnote>
  <w:footnote w:type="continuationSeparator" w:id="0">
    <w:p w:rsidR="00ED377A" w:rsidRDefault="00ED377A"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CA0F50" w:rsidRDefault="00680277"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30DE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207063" w:rsidRDefault="00B30DE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DE2" w:rsidRPr="004960D6" w:rsidRDefault="00B30DE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F27E8"/>
    <w:multiLevelType w:val="multilevel"/>
    <w:tmpl w:val="74EA91A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EC4B92"/>
    <w:multiLevelType w:val="hybridMultilevel"/>
    <w:tmpl w:val="EA8481F0"/>
    <w:lvl w:ilvl="0" w:tplc="C380AE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A80FE2"/>
    <w:multiLevelType w:val="hybridMultilevel"/>
    <w:tmpl w:val="16BEF8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B997583"/>
    <w:multiLevelType w:val="hybridMultilevel"/>
    <w:tmpl w:val="EDB4A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E9D2DCB"/>
    <w:multiLevelType w:val="hybridMultilevel"/>
    <w:tmpl w:val="B80E6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3A94530"/>
    <w:multiLevelType w:val="multilevel"/>
    <w:tmpl w:val="0BFAF2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8A6022"/>
    <w:multiLevelType w:val="hybridMultilevel"/>
    <w:tmpl w:val="8500BBC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9"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A84413"/>
    <w:multiLevelType w:val="multilevel"/>
    <w:tmpl w:val="B9C091B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
  </w:num>
  <w:num w:numId="3">
    <w:abstractNumId w:val="11"/>
  </w:num>
  <w:num w:numId="4">
    <w:abstractNumId w:val="42"/>
  </w:num>
  <w:num w:numId="5">
    <w:abstractNumId w:val="5"/>
  </w:num>
  <w:num w:numId="6">
    <w:abstractNumId w:val="38"/>
  </w:num>
  <w:num w:numId="7">
    <w:abstractNumId w:val="4"/>
  </w:num>
  <w:num w:numId="8">
    <w:abstractNumId w:val="33"/>
  </w:num>
  <w:num w:numId="9">
    <w:abstractNumId w:val="14"/>
  </w:num>
  <w:num w:numId="10">
    <w:abstractNumId w:val="6"/>
  </w:num>
  <w:num w:numId="11">
    <w:abstractNumId w:val="13"/>
  </w:num>
  <w:num w:numId="12">
    <w:abstractNumId w:val="24"/>
  </w:num>
  <w:num w:numId="13">
    <w:abstractNumId w:val="22"/>
  </w:num>
  <w:num w:numId="14">
    <w:abstractNumId w:val="26"/>
  </w:num>
  <w:num w:numId="15">
    <w:abstractNumId w:val="30"/>
  </w:num>
  <w:num w:numId="16">
    <w:abstractNumId w:val="1"/>
  </w:num>
  <w:num w:numId="17">
    <w:abstractNumId w:val="19"/>
  </w:num>
  <w:num w:numId="18">
    <w:abstractNumId w:val="37"/>
  </w:num>
  <w:num w:numId="19">
    <w:abstractNumId w:val="8"/>
  </w:num>
  <w:num w:numId="20">
    <w:abstractNumId w:val="29"/>
  </w:num>
  <w:num w:numId="21">
    <w:abstractNumId w:val="34"/>
  </w:num>
  <w:num w:numId="22">
    <w:abstractNumId w:val="10"/>
  </w:num>
  <w:num w:numId="23">
    <w:abstractNumId w:val="7"/>
  </w:num>
  <w:num w:numId="24">
    <w:abstractNumId w:val="35"/>
  </w:num>
  <w:num w:numId="25">
    <w:abstractNumId w:val="12"/>
  </w:num>
  <w:num w:numId="26">
    <w:abstractNumId w:val="2"/>
  </w:num>
  <w:num w:numId="27">
    <w:abstractNumId w:val="20"/>
  </w:num>
  <w:num w:numId="28">
    <w:abstractNumId w:val="17"/>
  </w:num>
  <w:num w:numId="29">
    <w:abstractNumId w:val="21"/>
  </w:num>
  <w:num w:numId="30">
    <w:abstractNumId w:val="32"/>
  </w:num>
  <w:num w:numId="31">
    <w:abstractNumId w:val="40"/>
  </w:num>
  <w:num w:numId="32">
    <w:abstractNumId w:val="41"/>
  </w:num>
  <w:num w:numId="33">
    <w:abstractNumId w:val="9"/>
  </w:num>
  <w:num w:numId="34">
    <w:abstractNumId w:val="0"/>
  </w:num>
  <w:num w:numId="35">
    <w:abstractNumId w:val="31"/>
  </w:num>
  <w:num w:numId="36">
    <w:abstractNumId w:val="23"/>
  </w:num>
  <w:num w:numId="37">
    <w:abstractNumId w:val="25"/>
  </w:num>
  <w:num w:numId="38">
    <w:abstractNumId w:val="18"/>
  </w:num>
  <w:num w:numId="39">
    <w:abstractNumId w:val="27"/>
  </w:num>
  <w:num w:numId="40">
    <w:abstractNumId w:val="15"/>
  </w:num>
  <w:num w:numId="41">
    <w:abstractNumId w:val="36"/>
  </w:num>
  <w:num w:numId="42">
    <w:abstractNumId w:val="1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100D"/>
    <w:rsid w:val="000653B0"/>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595"/>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160F4"/>
    <w:rsid w:val="0012306F"/>
    <w:rsid w:val="00125E3B"/>
    <w:rsid w:val="00125E46"/>
    <w:rsid w:val="0012723C"/>
    <w:rsid w:val="00134D8D"/>
    <w:rsid w:val="00136A97"/>
    <w:rsid w:val="00137365"/>
    <w:rsid w:val="0014081B"/>
    <w:rsid w:val="00150E02"/>
    <w:rsid w:val="001605C7"/>
    <w:rsid w:val="00160969"/>
    <w:rsid w:val="00160F21"/>
    <w:rsid w:val="001658B6"/>
    <w:rsid w:val="00171A70"/>
    <w:rsid w:val="0017272D"/>
    <w:rsid w:val="00177526"/>
    <w:rsid w:val="0018425C"/>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26EA"/>
    <w:rsid w:val="001F4645"/>
    <w:rsid w:val="00205DE4"/>
    <w:rsid w:val="00207063"/>
    <w:rsid w:val="00215FD1"/>
    <w:rsid w:val="00220C28"/>
    <w:rsid w:val="00220D75"/>
    <w:rsid w:val="0022173F"/>
    <w:rsid w:val="00221F98"/>
    <w:rsid w:val="00222732"/>
    <w:rsid w:val="00224D1E"/>
    <w:rsid w:val="00224E61"/>
    <w:rsid w:val="0023261D"/>
    <w:rsid w:val="002375DE"/>
    <w:rsid w:val="00246779"/>
    <w:rsid w:val="00262C31"/>
    <w:rsid w:val="002638DC"/>
    <w:rsid w:val="00263CE0"/>
    <w:rsid w:val="002678E9"/>
    <w:rsid w:val="00282909"/>
    <w:rsid w:val="00287962"/>
    <w:rsid w:val="00292D76"/>
    <w:rsid w:val="00297C2A"/>
    <w:rsid w:val="002A71CC"/>
    <w:rsid w:val="002B3AC4"/>
    <w:rsid w:val="002B44C0"/>
    <w:rsid w:val="002B59FC"/>
    <w:rsid w:val="002C3835"/>
    <w:rsid w:val="002C76AB"/>
    <w:rsid w:val="002C7A86"/>
    <w:rsid w:val="002D28DF"/>
    <w:rsid w:val="002E0713"/>
    <w:rsid w:val="002F119A"/>
    <w:rsid w:val="002F204D"/>
    <w:rsid w:val="002F2F32"/>
    <w:rsid w:val="0030193E"/>
    <w:rsid w:val="00321F38"/>
    <w:rsid w:val="00330ACB"/>
    <w:rsid w:val="00331394"/>
    <w:rsid w:val="003317A8"/>
    <w:rsid w:val="003353C5"/>
    <w:rsid w:val="003454E5"/>
    <w:rsid w:val="00347F97"/>
    <w:rsid w:val="00354173"/>
    <w:rsid w:val="003616AC"/>
    <w:rsid w:val="00366270"/>
    <w:rsid w:val="00370ED0"/>
    <w:rsid w:val="00375A18"/>
    <w:rsid w:val="0038078D"/>
    <w:rsid w:val="00386024"/>
    <w:rsid w:val="003910F3"/>
    <w:rsid w:val="0039752D"/>
    <w:rsid w:val="003A0397"/>
    <w:rsid w:val="003A4DD4"/>
    <w:rsid w:val="003A6E33"/>
    <w:rsid w:val="003C340E"/>
    <w:rsid w:val="003C3EF6"/>
    <w:rsid w:val="003C56E7"/>
    <w:rsid w:val="003D120B"/>
    <w:rsid w:val="003D4CCB"/>
    <w:rsid w:val="003D5759"/>
    <w:rsid w:val="003D6B64"/>
    <w:rsid w:val="003E45AC"/>
    <w:rsid w:val="00405A29"/>
    <w:rsid w:val="00405D3E"/>
    <w:rsid w:val="00405E4F"/>
    <w:rsid w:val="00411497"/>
    <w:rsid w:val="004142B1"/>
    <w:rsid w:val="00414F4B"/>
    <w:rsid w:val="00422D9C"/>
    <w:rsid w:val="00424234"/>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A76F3"/>
    <w:rsid w:val="004B5D5B"/>
    <w:rsid w:val="004B7829"/>
    <w:rsid w:val="004C0C7A"/>
    <w:rsid w:val="004C0F5B"/>
    <w:rsid w:val="004D37D9"/>
    <w:rsid w:val="004D3D04"/>
    <w:rsid w:val="004D6AA7"/>
    <w:rsid w:val="004D7D44"/>
    <w:rsid w:val="004E1C64"/>
    <w:rsid w:val="004E717F"/>
    <w:rsid w:val="004F21A0"/>
    <w:rsid w:val="004F4242"/>
    <w:rsid w:val="00500B8F"/>
    <w:rsid w:val="00514128"/>
    <w:rsid w:val="00521CF6"/>
    <w:rsid w:val="00526017"/>
    <w:rsid w:val="0053247E"/>
    <w:rsid w:val="00532578"/>
    <w:rsid w:val="00532BE2"/>
    <w:rsid w:val="00535C17"/>
    <w:rsid w:val="0055292D"/>
    <w:rsid w:val="00562761"/>
    <w:rsid w:val="0056287D"/>
    <w:rsid w:val="00564475"/>
    <w:rsid w:val="005676B7"/>
    <w:rsid w:val="00572669"/>
    <w:rsid w:val="00574039"/>
    <w:rsid w:val="00577EB4"/>
    <w:rsid w:val="00577F0A"/>
    <w:rsid w:val="0058599E"/>
    <w:rsid w:val="005B0C70"/>
    <w:rsid w:val="005B44AE"/>
    <w:rsid w:val="005D4099"/>
    <w:rsid w:val="005D5806"/>
    <w:rsid w:val="005D5F5A"/>
    <w:rsid w:val="005E6E2F"/>
    <w:rsid w:val="005F277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70E3F"/>
    <w:rsid w:val="00680277"/>
    <w:rsid w:val="00683B6B"/>
    <w:rsid w:val="00684398"/>
    <w:rsid w:val="00687A9E"/>
    <w:rsid w:val="0069387A"/>
    <w:rsid w:val="006939E5"/>
    <w:rsid w:val="006B0D7D"/>
    <w:rsid w:val="006B379A"/>
    <w:rsid w:val="006B6253"/>
    <w:rsid w:val="006C14EE"/>
    <w:rsid w:val="006C2A1C"/>
    <w:rsid w:val="006E008A"/>
    <w:rsid w:val="006E374B"/>
    <w:rsid w:val="006E50C0"/>
    <w:rsid w:val="006F68A3"/>
    <w:rsid w:val="007043CA"/>
    <w:rsid w:val="0072243C"/>
    <w:rsid w:val="007237FA"/>
    <w:rsid w:val="00732A91"/>
    <w:rsid w:val="00736EC8"/>
    <w:rsid w:val="00737980"/>
    <w:rsid w:val="00741D94"/>
    <w:rsid w:val="007467DF"/>
    <w:rsid w:val="00756A61"/>
    <w:rsid w:val="00757BC3"/>
    <w:rsid w:val="00760A88"/>
    <w:rsid w:val="00762481"/>
    <w:rsid w:val="0076444F"/>
    <w:rsid w:val="007872BC"/>
    <w:rsid w:val="007A377A"/>
    <w:rsid w:val="007B1D32"/>
    <w:rsid w:val="007B6E3E"/>
    <w:rsid w:val="007C73DE"/>
    <w:rsid w:val="007D174B"/>
    <w:rsid w:val="007D1AFF"/>
    <w:rsid w:val="007D609D"/>
    <w:rsid w:val="007D669F"/>
    <w:rsid w:val="007E1950"/>
    <w:rsid w:val="007E7ECF"/>
    <w:rsid w:val="007F0E84"/>
    <w:rsid w:val="007F17B1"/>
    <w:rsid w:val="007F321F"/>
    <w:rsid w:val="007F338A"/>
    <w:rsid w:val="007F5A8E"/>
    <w:rsid w:val="007F6387"/>
    <w:rsid w:val="007F6E52"/>
    <w:rsid w:val="00806C5D"/>
    <w:rsid w:val="008149B1"/>
    <w:rsid w:val="00820463"/>
    <w:rsid w:val="00821486"/>
    <w:rsid w:val="008271A8"/>
    <w:rsid w:val="00833527"/>
    <w:rsid w:val="00836810"/>
    <w:rsid w:val="00842C18"/>
    <w:rsid w:val="00843FE7"/>
    <w:rsid w:val="00845BCF"/>
    <w:rsid w:val="008529C3"/>
    <w:rsid w:val="0085653B"/>
    <w:rsid w:val="00860EC5"/>
    <w:rsid w:val="00867383"/>
    <w:rsid w:val="008744A6"/>
    <w:rsid w:val="0087689B"/>
    <w:rsid w:val="008807E6"/>
    <w:rsid w:val="00883089"/>
    <w:rsid w:val="00883BC8"/>
    <w:rsid w:val="00892EDB"/>
    <w:rsid w:val="0089745E"/>
    <w:rsid w:val="00897ABC"/>
    <w:rsid w:val="008A05DD"/>
    <w:rsid w:val="008A7731"/>
    <w:rsid w:val="008B4CA7"/>
    <w:rsid w:val="008B7489"/>
    <w:rsid w:val="008C5194"/>
    <w:rsid w:val="008D30E6"/>
    <w:rsid w:val="008D3564"/>
    <w:rsid w:val="00901824"/>
    <w:rsid w:val="009069C2"/>
    <w:rsid w:val="009140FD"/>
    <w:rsid w:val="00914746"/>
    <w:rsid w:val="009241DC"/>
    <w:rsid w:val="009320AA"/>
    <w:rsid w:val="00932702"/>
    <w:rsid w:val="0094517E"/>
    <w:rsid w:val="00962B37"/>
    <w:rsid w:val="009630CC"/>
    <w:rsid w:val="0096330D"/>
    <w:rsid w:val="00970EB1"/>
    <w:rsid w:val="00971A5E"/>
    <w:rsid w:val="009720C1"/>
    <w:rsid w:val="009754EA"/>
    <w:rsid w:val="00977755"/>
    <w:rsid w:val="00977835"/>
    <w:rsid w:val="00981574"/>
    <w:rsid w:val="00981585"/>
    <w:rsid w:val="009A7E33"/>
    <w:rsid w:val="009B458C"/>
    <w:rsid w:val="009B5C03"/>
    <w:rsid w:val="009C2FED"/>
    <w:rsid w:val="009D1D03"/>
    <w:rsid w:val="009D264E"/>
    <w:rsid w:val="009D3593"/>
    <w:rsid w:val="009E3663"/>
    <w:rsid w:val="009E46C4"/>
    <w:rsid w:val="009E586C"/>
    <w:rsid w:val="009E7BBF"/>
    <w:rsid w:val="009F59E4"/>
    <w:rsid w:val="00A07E43"/>
    <w:rsid w:val="00A11046"/>
    <w:rsid w:val="00A15619"/>
    <w:rsid w:val="00A16DAE"/>
    <w:rsid w:val="00A20D92"/>
    <w:rsid w:val="00A21FED"/>
    <w:rsid w:val="00A33BE1"/>
    <w:rsid w:val="00A37BD6"/>
    <w:rsid w:val="00A40455"/>
    <w:rsid w:val="00A44F1C"/>
    <w:rsid w:val="00A45FB8"/>
    <w:rsid w:val="00A46A0C"/>
    <w:rsid w:val="00A54EF3"/>
    <w:rsid w:val="00A57F7F"/>
    <w:rsid w:val="00A653B2"/>
    <w:rsid w:val="00A869D4"/>
    <w:rsid w:val="00A87EC8"/>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5587"/>
    <w:rsid w:val="00B22E7C"/>
    <w:rsid w:val="00B3093B"/>
    <w:rsid w:val="00B30DE2"/>
    <w:rsid w:val="00B33201"/>
    <w:rsid w:val="00B33603"/>
    <w:rsid w:val="00B400BE"/>
    <w:rsid w:val="00B609BD"/>
    <w:rsid w:val="00B61EC4"/>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251"/>
    <w:rsid w:val="00C05B41"/>
    <w:rsid w:val="00C068DB"/>
    <w:rsid w:val="00C07FF8"/>
    <w:rsid w:val="00C14F52"/>
    <w:rsid w:val="00C153DF"/>
    <w:rsid w:val="00C23B65"/>
    <w:rsid w:val="00C25E83"/>
    <w:rsid w:val="00C30408"/>
    <w:rsid w:val="00C335FE"/>
    <w:rsid w:val="00C3365A"/>
    <w:rsid w:val="00C36CC2"/>
    <w:rsid w:val="00C44A8F"/>
    <w:rsid w:val="00C46EEC"/>
    <w:rsid w:val="00C5538B"/>
    <w:rsid w:val="00C6324F"/>
    <w:rsid w:val="00C71212"/>
    <w:rsid w:val="00C82C06"/>
    <w:rsid w:val="00C866F7"/>
    <w:rsid w:val="00C87AFC"/>
    <w:rsid w:val="00C9072A"/>
    <w:rsid w:val="00C90AD7"/>
    <w:rsid w:val="00C94E0B"/>
    <w:rsid w:val="00CA0F50"/>
    <w:rsid w:val="00CA6785"/>
    <w:rsid w:val="00CA7EB8"/>
    <w:rsid w:val="00CC2512"/>
    <w:rsid w:val="00CC416B"/>
    <w:rsid w:val="00CD14D0"/>
    <w:rsid w:val="00CD409E"/>
    <w:rsid w:val="00D00C94"/>
    <w:rsid w:val="00D05ABC"/>
    <w:rsid w:val="00D1037C"/>
    <w:rsid w:val="00D137F7"/>
    <w:rsid w:val="00D1473D"/>
    <w:rsid w:val="00D201D5"/>
    <w:rsid w:val="00D258E9"/>
    <w:rsid w:val="00D33A2A"/>
    <w:rsid w:val="00D35718"/>
    <w:rsid w:val="00D40AC5"/>
    <w:rsid w:val="00D43B6D"/>
    <w:rsid w:val="00D51191"/>
    <w:rsid w:val="00D56177"/>
    <w:rsid w:val="00D60729"/>
    <w:rsid w:val="00D62EE5"/>
    <w:rsid w:val="00D66F40"/>
    <w:rsid w:val="00D7198E"/>
    <w:rsid w:val="00D744FA"/>
    <w:rsid w:val="00D8185C"/>
    <w:rsid w:val="00D8605F"/>
    <w:rsid w:val="00D8690A"/>
    <w:rsid w:val="00D96149"/>
    <w:rsid w:val="00DA36B9"/>
    <w:rsid w:val="00DA387D"/>
    <w:rsid w:val="00DA6CA7"/>
    <w:rsid w:val="00DB7158"/>
    <w:rsid w:val="00DC0DCD"/>
    <w:rsid w:val="00DC1593"/>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71FD"/>
    <w:rsid w:val="00E32003"/>
    <w:rsid w:val="00E40457"/>
    <w:rsid w:val="00E47F45"/>
    <w:rsid w:val="00E54143"/>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377A"/>
    <w:rsid w:val="00ED52F5"/>
    <w:rsid w:val="00ED5B9E"/>
    <w:rsid w:val="00EE58CC"/>
    <w:rsid w:val="00EF11FF"/>
    <w:rsid w:val="00EF6FAB"/>
    <w:rsid w:val="00F1221F"/>
    <w:rsid w:val="00F12A7D"/>
    <w:rsid w:val="00F22F02"/>
    <w:rsid w:val="00F24186"/>
    <w:rsid w:val="00F24A4E"/>
    <w:rsid w:val="00F25BCA"/>
    <w:rsid w:val="00F316F1"/>
    <w:rsid w:val="00F436CE"/>
    <w:rsid w:val="00F51D84"/>
    <w:rsid w:val="00F62141"/>
    <w:rsid w:val="00F67CCF"/>
    <w:rsid w:val="00F71BC1"/>
    <w:rsid w:val="00F82EF1"/>
    <w:rsid w:val="00F84D65"/>
    <w:rsid w:val="00F906D0"/>
    <w:rsid w:val="00F9394B"/>
    <w:rsid w:val="00FA4096"/>
    <w:rsid w:val="00FA50B1"/>
    <w:rsid w:val="00FA58FD"/>
    <w:rsid w:val="00FB1139"/>
    <w:rsid w:val="00FB2965"/>
    <w:rsid w:val="00FB79A0"/>
    <w:rsid w:val="00FC0DC5"/>
    <w:rsid w:val="00FC2B6A"/>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BA895C7-7393-4588-A131-E5B3A79B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3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table" w:customStyle="1" w:styleId="ClutchTable1">
    <w:name w:val="Clutch Table1"/>
    <w:basedOn w:val="TableNormal"/>
    <w:next w:val="TableGrid"/>
    <w:uiPriority w:val="39"/>
    <w:rsid w:val="00684398"/>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
    <w:rsid w:val="009E7BBF"/>
    <w:rPr>
      <w:rFonts w:ascii="Verdana" w:eastAsiaTheme="minorHAnsi" w:hAnsi="Verdana"/>
      <w:color w:val="1B1B1B"/>
      <w:sz w:val="20"/>
      <w:szCs w:val="20"/>
    </w:rPr>
  </w:style>
  <w:style w:type="character" w:customStyle="1" w:styleId="s1">
    <w:name w:val="s1"/>
    <w:basedOn w:val="DefaultParagraphFont"/>
    <w:rsid w:val="009E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626082487">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1325163469">
      <w:bodyDiv w:val="1"/>
      <w:marLeft w:val="0"/>
      <w:marRight w:val="0"/>
      <w:marTop w:val="0"/>
      <w:marBottom w:val="0"/>
      <w:divBdr>
        <w:top w:val="none" w:sz="0" w:space="0" w:color="auto"/>
        <w:left w:val="none" w:sz="0" w:space="0" w:color="auto"/>
        <w:bottom w:val="none" w:sz="0" w:space="0" w:color="auto"/>
        <w:right w:val="none" w:sz="0" w:space="0" w:color="auto"/>
      </w:divBdr>
    </w:div>
    <w:div w:id="1331640611">
      <w:bodyDiv w:val="1"/>
      <w:marLeft w:val="0"/>
      <w:marRight w:val="0"/>
      <w:marTop w:val="0"/>
      <w:marBottom w:val="0"/>
      <w:divBdr>
        <w:top w:val="none" w:sz="0" w:space="0" w:color="auto"/>
        <w:left w:val="none" w:sz="0" w:space="0" w:color="auto"/>
        <w:bottom w:val="none" w:sz="0" w:space="0" w:color="auto"/>
        <w:right w:val="none" w:sz="0" w:space="0" w:color="auto"/>
      </w:divBdr>
      <w:divsChild>
        <w:div w:id="1006789598">
          <w:marLeft w:val="0"/>
          <w:marRight w:val="0"/>
          <w:marTop w:val="0"/>
          <w:marBottom w:val="0"/>
          <w:divBdr>
            <w:top w:val="none" w:sz="0" w:space="0" w:color="auto"/>
            <w:left w:val="none" w:sz="0" w:space="0" w:color="auto"/>
            <w:bottom w:val="none" w:sz="0" w:space="0" w:color="auto"/>
            <w:right w:val="none" w:sz="0" w:space="0" w:color="auto"/>
          </w:divBdr>
          <w:divsChild>
            <w:div w:id="291134418">
              <w:marLeft w:val="0"/>
              <w:marRight w:val="0"/>
              <w:marTop w:val="0"/>
              <w:marBottom w:val="0"/>
              <w:divBdr>
                <w:top w:val="none" w:sz="0" w:space="0" w:color="auto"/>
                <w:left w:val="none" w:sz="0" w:space="0" w:color="auto"/>
                <w:bottom w:val="none" w:sz="0" w:space="0" w:color="auto"/>
                <w:right w:val="none" w:sz="0" w:space="0" w:color="auto"/>
              </w:divBdr>
              <w:divsChild>
                <w:div w:id="1463116310">
                  <w:marLeft w:val="0"/>
                  <w:marRight w:val="0"/>
                  <w:marTop w:val="0"/>
                  <w:marBottom w:val="0"/>
                  <w:divBdr>
                    <w:top w:val="none" w:sz="0" w:space="0" w:color="auto"/>
                    <w:left w:val="none" w:sz="0" w:space="0" w:color="auto"/>
                    <w:bottom w:val="none" w:sz="0" w:space="0" w:color="auto"/>
                    <w:right w:val="none" w:sz="0" w:space="0" w:color="auto"/>
                  </w:divBdr>
                  <w:divsChild>
                    <w:div w:id="1173372077">
                      <w:marLeft w:val="0"/>
                      <w:marRight w:val="0"/>
                      <w:marTop w:val="0"/>
                      <w:marBottom w:val="0"/>
                      <w:divBdr>
                        <w:top w:val="none" w:sz="0" w:space="0" w:color="auto"/>
                        <w:left w:val="none" w:sz="0" w:space="0" w:color="auto"/>
                        <w:bottom w:val="none" w:sz="0" w:space="0" w:color="auto"/>
                        <w:right w:val="none" w:sz="0" w:space="0" w:color="auto"/>
                      </w:divBdr>
                      <w:divsChild>
                        <w:div w:id="994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12249">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 w:id="2076051229">
      <w:bodyDiv w:val="1"/>
      <w:marLeft w:val="0"/>
      <w:marRight w:val="0"/>
      <w:marTop w:val="0"/>
      <w:marBottom w:val="0"/>
      <w:divBdr>
        <w:top w:val="none" w:sz="0" w:space="0" w:color="auto"/>
        <w:left w:val="none" w:sz="0" w:space="0" w:color="auto"/>
        <w:bottom w:val="none" w:sz="0" w:space="0" w:color="auto"/>
        <w:right w:val="none" w:sz="0" w:space="0" w:color="auto"/>
      </w:divBdr>
      <w:divsChild>
        <w:div w:id="1144928226">
          <w:marLeft w:val="0"/>
          <w:marRight w:val="0"/>
          <w:marTop w:val="0"/>
          <w:marBottom w:val="0"/>
          <w:divBdr>
            <w:top w:val="none" w:sz="0" w:space="0" w:color="auto"/>
            <w:left w:val="none" w:sz="0" w:space="0" w:color="auto"/>
            <w:bottom w:val="none" w:sz="0" w:space="0" w:color="auto"/>
            <w:right w:val="none" w:sz="0" w:space="0" w:color="auto"/>
          </w:divBdr>
          <w:divsChild>
            <w:div w:id="1359355527">
              <w:marLeft w:val="0"/>
              <w:marRight w:val="0"/>
              <w:marTop w:val="0"/>
              <w:marBottom w:val="0"/>
              <w:divBdr>
                <w:top w:val="none" w:sz="0" w:space="0" w:color="auto"/>
                <w:left w:val="none" w:sz="0" w:space="0" w:color="auto"/>
                <w:bottom w:val="none" w:sz="0" w:space="0" w:color="auto"/>
                <w:right w:val="none" w:sz="0" w:space="0" w:color="auto"/>
              </w:divBdr>
              <w:divsChild>
                <w:div w:id="1241718585">
                  <w:marLeft w:val="0"/>
                  <w:marRight w:val="0"/>
                  <w:marTop w:val="0"/>
                  <w:marBottom w:val="0"/>
                  <w:divBdr>
                    <w:top w:val="none" w:sz="0" w:space="0" w:color="auto"/>
                    <w:left w:val="none" w:sz="0" w:space="0" w:color="auto"/>
                    <w:bottom w:val="none" w:sz="0" w:space="0" w:color="auto"/>
                    <w:right w:val="none" w:sz="0" w:space="0" w:color="auto"/>
                  </w:divBdr>
                  <w:divsChild>
                    <w:div w:id="1183935898">
                      <w:marLeft w:val="0"/>
                      <w:marRight w:val="0"/>
                      <w:marTop w:val="0"/>
                      <w:marBottom w:val="0"/>
                      <w:divBdr>
                        <w:top w:val="none" w:sz="0" w:space="0" w:color="auto"/>
                        <w:left w:val="none" w:sz="0" w:space="0" w:color="auto"/>
                        <w:bottom w:val="none" w:sz="0" w:space="0" w:color="auto"/>
                        <w:right w:val="none" w:sz="0" w:space="0" w:color="auto"/>
                      </w:divBdr>
                      <w:divsChild>
                        <w:div w:id="3868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6504B"/>
    <w:rsid w:val="00071ACA"/>
    <w:rsid w:val="000A6631"/>
    <w:rsid w:val="001C76A9"/>
    <w:rsid w:val="001E4D58"/>
    <w:rsid w:val="00577376"/>
    <w:rsid w:val="005B3992"/>
    <w:rsid w:val="005E3561"/>
    <w:rsid w:val="00672DF4"/>
    <w:rsid w:val="007F38E2"/>
    <w:rsid w:val="008638AA"/>
    <w:rsid w:val="0087154F"/>
    <w:rsid w:val="008F1F7B"/>
    <w:rsid w:val="008F5F77"/>
    <w:rsid w:val="00A35869"/>
    <w:rsid w:val="00A9166C"/>
    <w:rsid w:val="00AC054C"/>
    <w:rsid w:val="00AC0DBB"/>
    <w:rsid w:val="00BB64E1"/>
    <w:rsid w:val="00BE0041"/>
    <w:rsid w:val="00C36CDA"/>
    <w:rsid w:val="00C91D9B"/>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92314AAE-AE5E-4CC6-924B-3B0C78A4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3819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2017-02-17T16:58:00Z</dcterms:created>
  <dcterms:modified xsi:type="dcterms:W3CDTF">2017-08-22T19:26:00Z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