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31532B">
      <w:pPr>
        <w:pStyle w:val="Heading1"/>
        <w:pBdr>
          <w:bottom w:val="none" w:sz="0" w:space="0" w:color="auto"/>
        </w:pBdr>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31532B" w:rsidRDefault="005329D4" w:rsidP="0031532B">
      <w:pPr>
        <w:pBdr>
          <w:bottom w:val="single" w:sz="4" w:space="1" w:color="auto"/>
        </w:pBdr>
        <w:rPr>
          <w:rFonts w:ascii="Arial" w:eastAsiaTheme="majorEastAsia" w:hAnsi="Arial" w:cstheme="majorBidi"/>
          <w:b/>
          <w:bCs/>
          <w:caps/>
          <w:sz w:val="26"/>
          <w:szCs w:val="24"/>
        </w:rPr>
      </w:pPr>
      <w:bookmarkStart w:id="1" w:name="_Toc465846436"/>
      <w:r>
        <w:rPr>
          <w:rFonts w:ascii="Arial" w:eastAsiaTheme="majorEastAsia" w:hAnsi="Arial" w:cstheme="majorBidi"/>
          <w:b/>
          <w:bCs/>
          <w:caps/>
          <w:sz w:val="26"/>
          <w:szCs w:val="24"/>
        </w:rPr>
        <w:t>Assistant Secretary for Management/</w:t>
      </w:r>
      <w:r w:rsidR="00095358" w:rsidRPr="006F0A00">
        <w:rPr>
          <w:rFonts w:ascii="Arial" w:eastAsiaTheme="majorEastAsia" w:hAnsi="Arial" w:cstheme="majorBidi"/>
          <w:b/>
          <w:bCs/>
          <w:caps/>
          <w:sz w:val="26"/>
          <w:szCs w:val="24"/>
        </w:rPr>
        <w:t>Chief financial officer, Department of the Treasury</w:t>
      </w:r>
      <w:bookmarkEnd w:id="1"/>
    </w:p>
    <w:p w:rsidR="00095358" w:rsidRPr="00224D1E" w:rsidRDefault="00095358"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3"/>
        <w:gridCol w:w="56"/>
        <w:gridCol w:w="6786"/>
        <w:gridCol w:w="7"/>
      </w:tblGrid>
      <w:tr w:rsidR="00095358" w:rsidRPr="0031532B" w:rsidTr="0031532B">
        <w:trPr>
          <w:gridAfter w:val="1"/>
          <w:wAfter w:w="7" w:type="dxa"/>
        </w:trPr>
        <w:tc>
          <w:tcPr>
            <w:tcW w:w="9450"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095358" w:rsidRPr="0031532B" w:rsidRDefault="00095358" w:rsidP="00B504DD">
            <w:pPr>
              <w:jc w:val="center"/>
              <w:rPr>
                <w:rFonts w:asciiTheme="majorHAnsi" w:hAnsiTheme="majorHAnsi" w:cstheme="majorHAnsi"/>
                <w:b/>
              </w:rPr>
            </w:pPr>
            <w:r w:rsidRPr="0031532B">
              <w:rPr>
                <w:rFonts w:asciiTheme="majorHAnsi" w:hAnsiTheme="majorHAnsi" w:cstheme="majorHAnsi"/>
                <w:b/>
              </w:rPr>
              <w:t>OVERVIEW</w:t>
            </w:r>
          </w:p>
        </w:tc>
      </w:tr>
      <w:tr w:rsidR="00095358" w:rsidRPr="0031532B" w:rsidTr="0031532B">
        <w:trPr>
          <w:gridAfter w:val="1"/>
          <w:wAfter w:w="7" w:type="dxa"/>
        </w:trPr>
        <w:tc>
          <w:tcPr>
            <w:tcW w:w="2613"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B504DD">
            <w:pPr>
              <w:rPr>
                <w:rFonts w:asciiTheme="majorHAnsi" w:hAnsiTheme="majorHAnsi" w:cstheme="majorHAnsi"/>
              </w:rPr>
            </w:pPr>
            <w:r w:rsidRPr="0031532B">
              <w:rPr>
                <w:rFonts w:asciiTheme="majorHAnsi" w:hAnsiTheme="majorHAnsi" w:cstheme="majorHAnsi"/>
              </w:rPr>
              <w:t>Senate Committee</w:t>
            </w:r>
          </w:p>
        </w:tc>
        <w:tc>
          <w:tcPr>
            <w:tcW w:w="6837" w:type="dxa"/>
            <w:gridSpan w:val="2"/>
            <w:tcBorders>
              <w:top w:val="single" w:sz="2" w:space="0" w:color="auto"/>
              <w:left w:val="single" w:sz="2" w:space="0" w:color="auto"/>
              <w:bottom w:val="single" w:sz="2" w:space="0" w:color="auto"/>
              <w:right w:val="single" w:sz="2" w:space="0" w:color="auto"/>
            </w:tcBorders>
          </w:tcPr>
          <w:p w:rsidR="005329D4" w:rsidRDefault="005329D4" w:rsidP="00B504DD">
            <w:pPr>
              <w:rPr>
                <w:rFonts w:asciiTheme="majorHAnsi" w:hAnsiTheme="majorHAnsi" w:cstheme="majorHAnsi"/>
              </w:rPr>
            </w:pPr>
            <w:r>
              <w:rPr>
                <w:rFonts w:asciiTheme="majorHAnsi" w:hAnsiTheme="majorHAnsi" w:cstheme="majorHAnsi"/>
              </w:rPr>
              <w:t>The Assistant Secretary for Management (ASM) is not Senate confirmed. However, the ASM and the Chief Financial Officer (CFO) have always been the same person for the Department of the Treasury, and the CFO is Senate confirmed and goes through Finance.</w:t>
            </w:r>
          </w:p>
          <w:p w:rsidR="005329D4" w:rsidRDefault="005329D4" w:rsidP="00B504DD">
            <w:pPr>
              <w:rPr>
                <w:rFonts w:asciiTheme="majorHAnsi" w:hAnsiTheme="majorHAnsi" w:cstheme="majorHAnsi"/>
              </w:rPr>
            </w:pPr>
          </w:p>
          <w:p w:rsidR="0031532B" w:rsidRPr="0031532B" w:rsidRDefault="0031532B" w:rsidP="00B504DD">
            <w:pPr>
              <w:rPr>
                <w:rFonts w:asciiTheme="majorHAnsi" w:hAnsiTheme="majorHAnsi" w:cstheme="majorHAnsi"/>
              </w:rPr>
            </w:pPr>
            <w:r w:rsidRPr="0031532B">
              <w:rPr>
                <w:rFonts w:asciiTheme="majorHAnsi" w:hAnsiTheme="majorHAnsi" w:cstheme="majorHAnsi"/>
              </w:rPr>
              <w:t>This CFO is covered by the CFO Act of 1990 that may be filled through appointment by the president, with the advice and consent of the Senate, or through designation by the president from among agency officials who have been confirmed by the Senate for other positions.</w:t>
            </w:r>
            <w:r w:rsidRPr="0031532B">
              <w:rPr>
                <w:rStyle w:val="EndnoteReference"/>
                <w:rFonts w:asciiTheme="majorHAnsi" w:hAnsiTheme="majorHAnsi" w:cstheme="majorHAnsi"/>
              </w:rPr>
              <w:endnoteReference w:id="1"/>
            </w:r>
          </w:p>
        </w:tc>
      </w:tr>
      <w:tr w:rsidR="00095358" w:rsidRPr="0031532B" w:rsidTr="0031532B">
        <w:trPr>
          <w:gridAfter w:val="1"/>
          <w:wAfter w:w="7" w:type="dxa"/>
        </w:trPr>
        <w:tc>
          <w:tcPr>
            <w:tcW w:w="2613"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B504DD">
            <w:pPr>
              <w:rPr>
                <w:rFonts w:asciiTheme="majorHAnsi" w:hAnsiTheme="majorHAnsi" w:cstheme="majorHAnsi"/>
              </w:rPr>
            </w:pPr>
            <w:r w:rsidRPr="0031532B">
              <w:rPr>
                <w:rFonts w:asciiTheme="majorHAnsi" w:hAnsiTheme="majorHAnsi" w:cstheme="majorHAnsi"/>
              </w:rPr>
              <w:t>Agency Mission</w:t>
            </w:r>
          </w:p>
        </w:tc>
        <w:tc>
          <w:tcPr>
            <w:tcW w:w="6837"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B504DD">
            <w:pPr>
              <w:rPr>
                <w:rFonts w:asciiTheme="majorHAnsi" w:hAnsiTheme="majorHAnsi" w:cstheme="majorHAnsi"/>
                <w:bCs/>
              </w:rPr>
            </w:pPr>
            <w:r w:rsidRPr="0031532B">
              <w:rPr>
                <w:rFonts w:asciiTheme="majorHAnsi" w:hAnsiTheme="majorHAnsi" w:cstheme="majorHAnsi"/>
                <w:bCs/>
              </w:rPr>
              <w:t>The Treasury Department is the executive agency responsible for promoting economic prosperity and ensuring the financial security of the United States.</w:t>
            </w:r>
          </w:p>
        </w:tc>
      </w:tr>
      <w:tr w:rsidR="00095358" w:rsidRPr="0031532B" w:rsidTr="0031532B">
        <w:trPr>
          <w:gridAfter w:val="1"/>
          <w:wAfter w:w="7" w:type="dxa"/>
        </w:trPr>
        <w:tc>
          <w:tcPr>
            <w:tcW w:w="2613"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B504DD">
            <w:pPr>
              <w:rPr>
                <w:rFonts w:asciiTheme="majorHAnsi" w:hAnsiTheme="majorHAnsi" w:cstheme="majorHAnsi"/>
              </w:rPr>
            </w:pPr>
            <w:r w:rsidRPr="0031532B">
              <w:rPr>
                <w:rFonts w:asciiTheme="majorHAnsi" w:hAnsiTheme="majorHAnsi" w:cstheme="majorHAnsi"/>
              </w:rPr>
              <w:t>Position Overview</w:t>
            </w:r>
          </w:p>
        </w:tc>
        <w:tc>
          <w:tcPr>
            <w:tcW w:w="6837"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5329D4">
            <w:pPr>
              <w:rPr>
                <w:rFonts w:asciiTheme="majorHAnsi" w:hAnsiTheme="majorHAnsi" w:cstheme="majorHAnsi"/>
              </w:rPr>
            </w:pPr>
            <w:r w:rsidRPr="0031532B">
              <w:rPr>
                <w:rFonts w:asciiTheme="majorHAnsi" w:hAnsiTheme="majorHAnsi" w:cstheme="majorHAnsi"/>
              </w:rPr>
              <w:t xml:space="preserve">The </w:t>
            </w:r>
            <w:r w:rsidR="005329D4">
              <w:rPr>
                <w:rFonts w:asciiTheme="majorHAnsi" w:hAnsiTheme="majorHAnsi" w:cstheme="majorHAnsi"/>
              </w:rPr>
              <w:t>ASM/CFO</w:t>
            </w:r>
            <w:r w:rsidRPr="0031532B">
              <w:rPr>
                <w:rFonts w:asciiTheme="majorHAnsi" w:hAnsiTheme="majorHAnsi" w:cstheme="majorHAnsi"/>
              </w:rPr>
              <w:t xml:space="preserve"> is the principal policy advisor to the Secretary and Deputy Secretary on the development and execution of the budget for the Department of the Treasury and the internal management of the Department and its bureaus. CFOs also play a crucial government-wide role.</w:t>
            </w:r>
          </w:p>
        </w:tc>
      </w:tr>
      <w:tr w:rsidR="00095358" w:rsidRPr="0031532B" w:rsidTr="0031532B">
        <w:trPr>
          <w:gridAfter w:val="1"/>
          <w:wAfter w:w="7" w:type="dxa"/>
        </w:trPr>
        <w:tc>
          <w:tcPr>
            <w:tcW w:w="2613"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B504DD">
            <w:pPr>
              <w:rPr>
                <w:rFonts w:asciiTheme="majorHAnsi" w:hAnsiTheme="majorHAnsi" w:cstheme="majorHAnsi"/>
                <w:i/>
              </w:rPr>
            </w:pPr>
            <w:r w:rsidRPr="0031532B">
              <w:rPr>
                <w:rFonts w:asciiTheme="majorHAnsi" w:hAnsiTheme="majorHAnsi" w:cstheme="majorHAnsi"/>
              </w:rPr>
              <w:t>Compensation</w:t>
            </w:r>
          </w:p>
        </w:tc>
        <w:tc>
          <w:tcPr>
            <w:tcW w:w="6837"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881E2F">
            <w:pPr>
              <w:rPr>
                <w:rFonts w:asciiTheme="majorHAnsi" w:hAnsiTheme="majorHAnsi" w:cstheme="majorHAnsi"/>
                <w:bCs/>
              </w:rPr>
            </w:pPr>
            <w:r w:rsidRPr="0031532B">
              <w:rPr>
                <w:rFonts w:asciiTheme="majorHAnsi" w:hAnsiTheme="majorHAnsi" w:cstheme="majorHAnsi"/>
                <w:bCs/>
              </w:rPr>
              <w:t>Level IV $</w:t>
            </w:r>
            <w:r w:rsidR="00881E2F">
              <w:rPr>
                <w:rFonts w:asciiTheme="majorHAnsi" w:hAnsiTheme="majorHAnsi" w:cstheme="majorHAnsi"/>
                <w:bCs/>
              </w:rPr>
              <w:t>155,500</w:t>
            </w:r>
            <w:r w:rsidRPr="0031532B">
              <w:rPr>
                <w:rFonts w:asciiTheme="majorHAnsi" w:hAnsiTheme="majorHAnsi" w:cstheme="majorHAnsi"/>
                <w:bCs/>
              </w:rPr>
              <w:t xml:space="preserve"> (5 U.S.C. § 5315)</w:t>
            </w:r>
            <w:r w:rsidR="0031532B" w:rsidRPr="0031532B">
              <w:rPr>
                <w:rStyle w:val="EndnoteReference"/>
                <w:rFonts w:asciiTheme="majorHAnsi" w:hAnsiTheme="majorHAnsi" w:cstheme="majorHAnsi"/>
                <w:bCs/>
              </w:rPr>
              <w:endnoteReference w:id="2"/>
            </w:r>
          </w:p>
        </w:tc>
      </w:tr>
      <w:tr w:rsidR="00095358" w:rsidRPr="0031532B" w:rsidTr="0031532B">
        <w:trPr>
          <w:gridAfter w:val="1"/>
          <w:wAfter w:w="7" w:type="dxa"/>
        </w:trPr>
        <w:tc>
          <w:tcPr>
            <w:tcW w:w="2613"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B504DD">
            <w:pPr>
              <w:rPr>
                <w:rFonts w:asciiTheme="majorHAnsi" w:hAnsiTheme="majorHAnsi" w:cstheme="majorHAnsi"/>
              </w:rPr>
            </w:pPr>
            <w:r w:rsidRPr="0031532B">
              <w:rPr>
                <w:rFonts w:asciiTheme="majorHAnsi" w:hAnsiTheme="majorHAnsi" w:cstheme="majorHAnsi"/>
              </w:rPr>
              <w:t>Position Reports to</w:t>
            </w:r>
          </w:p>
        </w:tc>
        <w:tc>
          <w:tcPr>
            <w:tcW w:w="6837"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B504DD">
            <w:pPr>
              <w:rPr>
                <w:rFonts w:asciiTheme="majorHAnsi" w:hAnsiTheme="majorHAnsi" w:cstheme="majorHAnsi"/>
              </w:rPr>
            </w:pPr>
            <w:r w:rsidRPr="0031532B">
              <w:rPr>
                <w:rFonts w:asciiTheme="majorHAnsi" w:hAnsiTheme="majorHAnsi" w:cstheme="majorHAnsi"/>
              </w:rPr>
              <w:t>Secretary and Deputy Secretary of the Department of the Treasury</w:t>
            </w:r>
          </w:p>
        </w:tc>
      </w:tr>
      <w:tr w:rsidR="00684398" w:rsidRPr="0031532B" w:rsidTr="0031532B">
        <w:tc>
          <w:tcPr>
            <w:tcW w:w="9457" w:type="dxa"/>
            <w:gridSpan w:val="4"/>
            <w:tcBorders>
              <w:top w:val="single" w:sz="2" w:space="0" w:color="auto"/>
              <w:left w:val="single" w:sz="2" w:space="0" w:color="auto"/>
              <w:bottom w:val="single" w:sz="2" w:space="0" w:color="auto"/>
              <w:right w:val="single" w:sz="2" w:space="0" w:color="auto"/>
            </w:tcBorders>
            <w:shd w:val="clear" w:color="auto" w:fill="003055" w:themeFill="text1"/>
          </w:tcPr>
          <w:p w:rsidR="00684398" w:rsidRPr="0031532B" w:rsidRDefault="00684398" w:rsidP="00684398">
            <w:pPr>
              <w:jc w:val="center"/>
              <w:rPr>
                <w:rFonts w:asciiTheme="majorHAnsi" w:hAnsiTheme="majorHAnsi" w:cstheme="majorHAnsi"/>
                <w:b/>
              </w:rPr>
            </w:pPr>
            <w:r w:rsidRPr="0031532B">
              <w:rPr>
                <w:rFonts w:asciiTheme="majorHAnsi" w:hAnsiTheme="majorHAnsi" w:cstheme="majorHAnsi"/>
                <w:b/>
              </w:rPr>
              <w:t>RESPONSIBILITIES</w:t>
            </w:r>
          </w:p>
        </w:tc>
      </w:tr>
      <w:tr w:rsidR="00095358" w:rsidRPr="0031532B" w:rsidTr="0031532B">
        <w:tc>
          <w:tcPr>
            <w:tcW w:w="2669"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095358">
            <w:pPr>
              <w:rPr>
                <w:rFonts w:asciiTheme="majorHAnsi" w:hAnsiTheme="majorHAnsi" w:cstheme="majorHAnsi"/>
              </w:rPr>
            </w:pPr>
            <w:r w:rsidRPr="0031532B">
              <w:rPr>
                <w:rFonts w:asciiTheme="majorHAnsi" w:hAnsiTheme="majorHAnsi" w:cstheme="majorHAnsi"/>
              </w:rPr>
              <w:t>Management Scope</w:t>
            </w:r>
          </w:p>
        </w:tc>
        <w:tc>
          <w:tcPr>
            <w:tcW w:w="6788"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62329B">
            <w:pPr>
              <w:contextualSpacing/>
              <w:rPr>
                <w:rFonts w:asciiTheme="majorHAnsi" w:hAnsiTheme="majorHAnsi" w:cstheme="majorHAnsi"/>
                <w:bCs/>
              </w:rPr>
            </w:pPr>
            <w:r w:rsidRPr="0031532B">
              <w:rPr>
                <w:rFonts w:asciiTheme="majorHAnsi" w:hAnsiTheme="majorHAnsi" w:cstheme="majorHAnsi"/>
                <w:bCs/>
              </w:rPr>
              <w:t xml:space="preserve">The </w:t>
            </w:r>
            <w:r w:rsidR="005329D4">
              <w:rPr>
                <w:rFonts w:asciiTheme="majorHAnsi" w:hAnsiTheme="majorHAnsi" w:cstheme="majorHAnsi"/>
                <w:bCs/>
              </w:rPr>
              <w:t>ASM/</w:t>
            </w:r>
            <w:r w:rsidRPr="0031532B">
              <w:rPr>
                <w:rFonts w:asciiTheme="majorHAnsi" w:hAnsiTheme="majorHAnsi" w:cstheme="majorHAnsi"/>
                <w:bCs/>
              </w:rPr>
              <w:t xml:space="preserve">CFO oversees the financial management of the entire department. In </w:t>
            </w:r>
            <w:r w:rsidRPr="0031532B">
              <w:rPr>
                <w:rFonts w:asciiTheme="majorHAnsi" w:hAnsiTheme="majorHAnsi" w:cstheme="majorHAnsi"/>
                <w:lang w:val="en"/>
              </w:rPr>
              <w:t>fiscal</w:t>
            </w:r>
            <w:r w:rsidRPr="0031532B">
              <w:rPr>
                <w:rFonts w:asciiTheme="majorHAnsi" w:hAnsiTheme="majorHAnsi" w:cstheme="majorHAnsi"/>
                <w:bCs/>
              </w:rPr>
              <w:t xml:space="preserve"> 2015, the department had $485,623 million in outla</w:t>
            </w:r>
            <w:r w:rsidR="0062329B">
              <w:rPr>
                <w:rFonts w:asciiTheme="majorHAnsi" w:hAnsiTheme="majorHAnsi" w:cstheme="majorHAnsi"/>
                <w:bCs/>
              </w:rPr>
              <w:t>ys and 84,050 total employment.</w:t>
            </w:r>
            <w:bookmarkStart w:id="2" w:name="_GoBack"/>
            <w:bookmarkEnd w:id="2"/>
          </w:p>
        </w:tc>
      </w:tr>
      <w:tr w:rsidR="00095358" w:rsidRPr="0031532B" w:rsidTr="0031532B">
        <w:tc>
          <w:tcPr>
            <w:tcW w:w="2669"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095358">
            <w:pPr>
              <w:rPr>
                <w:rFonts w:asciiTheme="majorHAnsi" w:hAnsiTheme="majorHAnsi" w:cstheme="majorHAnsi"/>
              </w:rPr>
            </w:pPr>
            <w:r w:rsidRPr="0031532B">
              <w:rPr>
                <w:rFonts w:asciiTheme="majorHAnsi" w:hAnsiTheme="majorHAnsi" w:cstheme="majorHAnsi"/>
              </w:rPr>
              <w:t>Primary Responsibilities</w:t>
            </w:r>
          </w:p>
        </w:tc>
        <w:tc>
          <w:tcPr>
            <w:tcW w:w="6788"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Develops and maintains integrated accounting and financial management systems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Oversees the recruitment, selection and training of personnel to carry out agency financial management functions, manages, trains and provides policy guidance and oversight of these personnel and their activities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Implements agency asset-management systems, including systems for cash management, credit management, debt collection, and property and inventory management and control</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Develops budgets that support all agency missions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Manages the financial execution of the agency budget and actual expenditures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lastRenderedPageBreak/>
              <w:t>Provides financial and performance reports to staff, overseers and stakeholders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Ties the budget and performance to outcomes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Takes the lead role in enterprise risk-management</w:t>
            </w:r>
          </w:p>
        </w:tc>
      </w:tr>
      <w:tr w:rsidR="0038078D" w:rsidRPr="0031532B" w:rsidTr="0031532B">
        <w:tc>
          <w:tcPr>
            <w:tcW w:w="2669"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8078D" w:rsidRPr="0031532B" w:rsidRDefault="0038078D" w:rsidP="0038078D">
            <w:pPr>
              <w:contextualSpacing/>
              <w:rPr>
                <w:rFonts w:asciiTheme="majorHAnsi" w:hAnsiTheme="majorHAnsi" w:cstheme="majorHAnsi"/>
              </w:rPr>
            </w:pPr>
            <w:r w:rsidRPr="0031532B">
              <w:rPr>
                <w:rFonts w:asciiTheme="majorHAnsi" w:hAnsiTheme="majorHAnsi" w:cstheme="majorHAnsi"/>
              </w:rPr>
              <w:lastRenderedPageBreak/>
              <w:t>Strategic Goals and Priorities</w:t>
            </w:r>
          </w:p>
        </w:tc>
        <w:tc>
          <w:tcPr>
            <w:tcW w:w="6788" w:type="dxa"/>
            <w:gridSpan w:val="2"/>
            <w:tcBorders>
              <w:top w:val="single" w:sz="2" w:space="0" w:color="auto"/>
              <w:left w:val="single" w:sz="2" w:space="0" w:color="auto"/>
              <w:bottom w:val="single" w:sz="2" w:space="0" w:color="auto"/>
              <w:right w:val="single" w:sz="2" w:space="0" w:color="auto"/>
            </w:tcBorders>
            <w:vAlign w:val="center"/>
          </w:tcPr>
          <w:p w:rsidR="0038078D" w:rsidRPr="0031532B" w:rsidRDefault="0038078D" w:rsidP="0038078D">
            <w:pPr>
              <w:ind w:left="72"/>
              <w:contextualSpacing/>
              <w:jc w:val="center"/>
              <w:rPr>
                <w:rFonts w:asciiTheme="majorHAnsi" w:hAnsiTheme="majorHAnsi" w:cstheme="majorHAnsi"/>
              </w:rPr>
            </w:pPr>
          </w:p>
          <w:p w:rsidR="0038078D" w:rsidRPr="0031532B" w:rsidRDefault="0038078D" w:rsidP="0038078D">
            <w:pPr>
              <w:ind w:left="72"/>
              <w:contextualSpacing/>
              <w:jc w:val="center"/>
              <w:rPr>
                <w:rFonts w:asciiTheme="majorHAnsi" w:hAnsiTheme="majorHAnsi" w:cstheme="majorHAnsi"/>
              </w:rPr>
            </w:pPr>
          </w:p>
          <w:p w:rsidR="0038078D" w:rsidRPr="0031532B" w:rsidRDefault="0038078D" w:rsidP="0038078D">
            <w:pPr>
              <w:ind w:left="72"/>
              <w:contextualSpacing/>
              <w:jc w:val="center"/>
              <w:rPr>
                <w:rFonts w:asciiTheme="majorHAnsi" w:hAnsiTheme="majorHAnsi" w:cstheme="majorHAnsi"/>
              </w:rPr>
            </w:pPr>
            <w:r w:rsidRPr="0031532B">
              <w:rPr>
                <w:rFonts w:asciiTheme="majorHAnsi" w:hAnsiTheme="majorHAnsi" w:cstheme="majorHAnsi"/>
              </w:rPr>
              <w:t>Depends on the policy priorities of the administration</w:t>
            </w:r>
          </w:p>
          <w:p w:rsidR="0038078D" w:rsidRPr="0031532B" w:rsidRDefault="0038078D" w:rsidP="0038078D">
            <w:pPr>
              <w:ind w:left="72"/>
              <w:contextualSpacing/>
              <w:jc w:val="center"/>
              <w:rPr>
                <w:rFonts w:asciiTheme="majorHAnsi" w:hAnsiTheme="majorHAnsi" w:cstheme="majorHAnsi"/>
              </w:rPr>
            </w:pPr>
          </w:p>
          <w:p w:rsidR="0038078D" w:rsidRPr="0031532B" w:rsidRDefault="0038078D" w:rsidP="0038078D">
            <w:pPr>
              <w:contextualSpacing/>
              <w:rPr>
                <w:rFonts w:asciiTheme="majorHAnsi" w:hAnsiTheme="majorHAnsi" w:cstheme="majorHAnsi"/>
              </w:rPr>
            </w:pPr>
          </w:p>
        </w:tc>
      </w:tr>
      <w:tr w:rsidR="00684398" w:rsidRPr="0031532B" w:rsidTr="0031532B">
        <w:tc>
          <w:tcPr>
            <w:tcW w:w="9457" w:type="dxa"/>
            <w:gridSpan w:val="4"/>
            <w:tcBorders>
              <w:top w:val="single" w:sz="2" w:space="0" w:color="auto"/>
              <w:left w:val="single" w:sz="2" w:space="0" w:color="auto"/>
              <w:bottom w:val="single" w:sz="2" w:space="0" w:color="auto"/>
              <w:right w:val="single" w:sz="2" w:space="0" w:color="auto"/>
            </w:tcBorders>
            <w:shd w:val="clear" w:color="auto" w:fill="003055" w:themeFill="text1"/>
          </w:tcPr>
          <w:p w:rsidR="00684398" w:rsidRPr="0031532B" w:rsidRDefault="00684398" w:rsidP="00684398">
            <w:pPr>
              <w:jc w:val="center"/>
              <w:rPr>
                <w:rFonts w:asciiTheme="majorHAnsi" w:hAnsiTheme="majorHAnsi" w:cstheme="majorHAnsi"/>
                <w:b/>
              </w:rPr>
            </w:pPr>
            <w:r w:rsidRPr="0031532B">
              <w:rPr>
                <w:rFonts w:asciiTheme="majorHAnsi" w:hAnsiTheme="majorHAnsi" w:cstheme="majorHAnsi"/>
                <w:b/>
              </w:rPr>
              <w:t>REQUIREMENTS AND COMPETENCIES</w:t>
            </w:r>
          </w:p>
        </w:tc>
      </w:tr>
      <w:tr w:rsidR="00095358" w:rsidRPr="0031532B" w:rsidTr="0031532B">
        <w:tc>
          <w:tcPr>
            <w:tcW w:w="2669"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095358">
            <w:pPr>
              <w:rPr>
                <w:rFonts w:asciiTheme="majorHAnsi" w:hAnsiTheme="majorHAnsi" w:cstheme="majorHAnsi"/>
              </w:rPr>
            </w:pPr>
            <w:r w:rsidRPr="0031532B">
              <w:rPr>
                <w:rFonts w:asciiTheme="majorHAnsi" w:hAnsiTheme="majorHAnsi" w:cstheme="majorHAnsi"/>
              </w:rPr>
              <w:t>Requirements</w:t>
            </w:r>
          </w:p>
        </w:tc>
        <w:tc>
          <w:tcPr>
            <w:tcW w:w="6788"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Strong background in federal financial management</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Executive leadership experience</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Experience working in a large organization</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Risk-management experience</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Knowledge of the department’s functions and policies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Knowledge of federal budget formulation</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Familiarity with cyber technology a plus</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Background in data analytics a plus</w:t>
            </w:r>
            <w:r w:rsidRPr="0031532B">
              <w:rPr>
                <w:rFonts w:asciiTheme="majorHAnsi" w:hAnsiTheme="majorHAnsi" w:cstheme="majorHAnsi"/>
              </w:rPr>
              <w:tab/>
            </w:r>
          </w:p>
        </w:tc>
      </w:tr>
      <w:tr w:rsidR="00095358" w:rsidRPr="0031532B" w:rsidTr="0031532B">
        <w:tc>
          <w:tcPr>
            <w:tcW w:w="2669"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95358" w:rsidRPr="0031532B" w:rsidRDefault="00095358" w:rsidP="00095358">
            <w:pPr>
              <w:rPr>
                <w:rFonts w:asciiTheme="majorHAnsi" w:hAnsiTheme="majorHAnsi" w:cstheme="majorHAnsi"/>
              </w:rPr>
            </w:pPr>
            <w:r w:rsidRPr="0031532B">
              <w:rPr>
                <w:rFonts w:asciiTheme="majorHAnsi" w:hAnsiTheme="majorHAnsi" w:cstheme="majorHAnsi"/>
              </w:rPr>
              <w:t>Competencies</w:t>
            </w:r>
          </w:p>
        </w:tc>
        <w:tc>
          <w:tcPr>
            <w:tcW w:w="6788" w:type="dxa"/>
            <w:gridSpan w:val="2"/>
            <w:tcBorders>
              <w:top w:val="single" w:sz="2" w:space="0" w:color="auto"/>
              <w:left w:val="single" w:sz="2" w:space="0" w:color="auto"/>
              <w:bottom w:val="single" w:sz="2" w:space="0" w:color="auto"/>
              <w:right w:val="single" w:sz="2" w:space="0" w:color="auto"/>
            </w:tcBorders>
          </w:tcPr>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Ability to collaborate with the chief information officers, under/assistant secretaries for administration/management, as well as other CFOs and the Office of Management and Budget via the CFO Council</w:t>
            </w:r>
          </w:p>
          <w:p w:rsidR="00095358" w:rsidRPr="0031532B" w:rsidRDefault="00095358" w:rsidP="00095358">
            <w:pPr>
              <w:numPr>
                <w:ilvl w:val="0"/>
                <w:numId w:val="43"/>
              </w:numPr>
              <w:ind w:left="432"/>
              <w:rPr>
                <w:rFonts w:asciiTheme="majorHAnsi" w:hAnsiTheme="majorHAnsi" w:cstheme="majorHAnsi"/>
              </w:rPr>
            </w:pPr>
            <w:r w:rsidRPr="0031532B">
              <w:rPr>
                <w:rFonts w:asciiTheme="majorHAnsi" w:hAnsiTheme="majorHAnsi" w:cstheme="majorHAnsi"/>
              </w:rPr>
              <w:t xml:space="preserve">Knowledge of, and relationships with, Congress or ability to develop them </w:t>
            </w:r>
          </w:p>
        </w:tc>
      </w:tr>
      <w:tr w:rsidR="00684398" w:rsidRPr="0031532B" w:rsidTr="0031532B">
        <w:tc>
          <w:tcPr>
            <w:tcW w:w="9457" w:type="dxa"/>
            <w:gridSpan w:val="4"/>
            <w:tcBorders>
              <w:top w:val="single" w:sz="2" w:space="0" w:color="auto"/>
              <w:left w:val="single" w:sz="2" w:space="0" w:color="auto"/>
              <w:bottom w:val="single" w:sz="2" w:space="0" w:color="auto"/>
              <w:right w:val="single" w:sz="2" w:space="0" w:color="auto"/>
            </w:tcBorders>
            <w:shd w:val="clear" w:color="auto" w:fill="003055" w:themeFill="text1"/>
          </w:tcPr>
          <w:p w:rsidR="00684398" w:rsidRPr="0031532B" w:rsidRDefault="00684398" w:rsidP="00684398">
            <w:pPr>
              <w:jc w:val="center"/>
              <w:rPr>
                <w:rFonts w:asciiTheme="majorHAnsi" w:hAnsiTheme="majorHAnsi" w:cstheme="majorHAnsi"/>
                <w:b/>
              </w:rPr>
            </w:pPr>
            <w:r w:rsidRPr="0031532B">
              <w:rPr>
                <w:rFonts w:asciiTheme="majorHAnsi" w:hAnsiTheme="majorHAnsi" w:cstheme="majorHAnsi"/>
                <w:b/>
              </w:rPr>
              <w:t>PAST APPOINTEES</w:t>
            </w:r>
          </w:p>
        </w:tc>
      </w:tr>
      <w:bookmarkEnd w:id="0"/>
      <w:tr w:rsidR="00095358" w:rsidRPr="0031532B" w:rsidTr="0031532B">
        <w:trPr>
          <w:gridAfter w:val="1"/>
          <w:wAfter w:w="7" w:type="dxa"/>
        </w:trPr>
        <w:tc>
          <w:tcPr>
            <w:tcW w:w="9455" w:type="dxa"/>
            <w:gridSpan w:val="3"/>
          </w:tcPr>
          <w:p w:rsidR="00095358" w:rsidRPr="0031532B" w:rsidRDefault="00095358" w:rsidP="008C7F86">
            <w:pPr>
              <w:rPr>
                <w:rFonts w:asciiTheme="majorHAnsi" w:hAnsiTheme="majorHAnsi" w:cstheme="majorHAnsi"/>
              </w:rPr>
            </w:pPr>
            <w:r w:rsidRPr="0031532B">
              <w:rPr>
                <w:rFonts w:asciiTheme="majorHAnsi" w:hAnsiTheme="majorHAnsi" w:cstheme="majorHAnsi"/>
              </w:rPr>
              <w:t>Kody Kinsley (2016-</w:t>
            </w:r>
            <w:r w:rsidR="008C7F86">
              <w:rPr>
                <w:rFonts w:asciiTheme="majorHAnsi" w:hAnsiTheme="majorHAnsi" w:cstheme="majorHAnsi"/>
              </w:rPr>
              <w:t>2017</w:t>
            </w:r>
            <w:r w:rsidRPr="0031532B">
              <w:rPr>
                <w:rFonts w:asciiTheme="majorHAnsi" w:hAnsiTheme="majorHAnsi" w:cstheme="majorHAnsi"/>
              </w:rPr>
              <w:t>) – Served in several roles in the Treasury prior to his appointment; Policy Analyst with the White House Domestic Policy Council; Director of Policy and Program Support at the District of Columbia Department of Health and Human Services</w:t>
            </w:r>
          </w:p>
        </w:tc>
      </w:tr>
      <w:tr w:rsidR="00095358" w:rsidRPr="0031532B" w:rsidTr="0031532B">
        <w:trPr>
          <w:gridAfter w:val="1"/>
          <w:wAfter w:w="7" w:type="dxa"/>
        </w:trPr>
        <w:tc>
          <w:tcPr>
            <w:tcW w:w="9455" w:type="dxa"/>
            <w:gridSpan w:val="3"/>
          </w:tcPr>
          <w:p w:rsidR="00095358" w:rsidRPr="0031532B" w:rsidRDefault="00095358" w:rsidP="00095358">
            <w:pPr>
              <w:rPr>
                <w:rFonts w:asciiTheme="majorHAnsi" w:hAnsiTheme="majorHAnsi" w:cstheme="majorHAnsi"/>
              </w:rPr>
            </w:pPr>
            <w:r w:rsidRPr="0031532B">
              <w:rPr>
                <w:rFonts w:asciiTheme="majorHAnsi" w:hAnsiTheme="majorHAnsi" w:cstheme="majorHAnsi"/>
              </w:rPr>
              <w:t>Brodi Fontenot (2015-2016) – Assistant Secretary for Administration, Chief Human Capital officer, and Senior Sustainability Officer for the Department of Transportation; Deputy Assistant Secretary for Management and Budget at the DoT; staff member of the Senate Budget Committee</w:t>
            </w:r>
          </w:p>
        </w:tc>
      </w:tr>
      <w:tr w:rsidR="00095358" w:rsidRPr="0031532B" w:rsidTr="0031532B">
        <w:trPr>
          <w:gridAfter w:val="1"/>
          <w:wAfter w:w="7" w:type="dxa"/>
        </w:trPr>
        <w:tc>
          <w:tcPr>
            <w:tcW w:w="9455" w:type="dxa"/>
            <w:gridSpan w:val="3"/>
          </w:tcPr>
          <w:p w:rsidR="00095358" w:rsidRPr="0031532B" w:rsidRDefault="00095358" w:rsidP="00095358">
            <w:pPr>
              <w:rPr>
                <w:rFonts w:asciiTheme="majorHAnsi" w:hAnsiTheme="majorHAnsi" w:cstheme="majorHAnsi"/>
              </w:rPr>
            </w:pPr>
            <w:r w:rsidRPr="0031532B">
              <w:rPr>
                <w:rFonts w:asciiTheme="majorHAnsi" w:hAnsiTheme="majorHAnsi" w:cstheme="majorHAnsi"/>
              </w:rPr>
              <w:t xml:space="preserve">Dan M. </w:t>
            </w:r>
            <w:proofErr w:type="spellStart"/>
            <w:r w:rsidRPr="0031532B">
              <w:rPr>
                <w:rFonts w:asciiTheme="majorHAnsi" w:hAnsiTheme="majorHAnsi" w:cstheme="majorHAnsi"/>
              </w:rPr>
              <w:t>Tangherlini</w:t>
            </w:r>
            <w:proofErr w:type="spellEnd"/>
            <w:r w:rsidRPr="0031532B">
              <w:rPr>
                <w:rFonts w:asciiTheme="majorHAnsi" w:hAnsiTheme="majorHAnsi" w:cstheme="majorHAnsi"/>
              </w:rPr>
              <w:t xml:space="preserve"> (2009-2013) – Washington, DC’s City Administrator and Deputy Mayor; Director of the District of Columbia Department of Transportation; Interim General Manager, Washington Metropolitan Area Transit Authority; CFO, Metropolitan Police Department; Worked in the Policy Office of the Secretary of Transportation; worked in a variety of capacities during six years of service with the Office of Management and Budget in the Executive Office of the President</w:t>
            </w:r>
          </w:p>
        </w:tc>
      </w:tr>
    </w:tbl>
    <w:p w:rsidR="00224D1E" w:rsidRPr="00224D1E" w:rsidRDefault="00224D1E">
      <w:pPr>
        <w:rPr>
          <w:rFonts w:asciiTheme="majorHAnsi" w:hAnsiTheme="majorHAnsi" w:cstheme="majorHAnsi"/>
        </w:rPr>
      </w:pPr>
    </w:p>
    <w:sectPr w:rsidR="00224D1E" w:rsidRPr="00224D1E"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959" w:rsidRDefault="00234959" w:rsidP="001E22F1">
      <w:r>
        <w:separator/>
      </w:r>
    </w:p>
  </w:endnote>
  <w:endnote w:type="continuationSeparator" w:id="0">
    <w:p w:rsidR="00234959" w:rsidRDefault="00234959" w:rsidP="001E22F1">
      <w:r>
        <w:continuationSeparator/>
      </w:r>
    </w:p>
  </w:endnote>
  <w:endnote w:id="1">
    <w:p w:rsidR="0031532B" w:rsidRPr="00A911C8" w:rsidRDefault="0031532B" w:rsidP="0031532B">
      <w:pPr>
        <w:pStyle w:val="EndnoteText"/>
      </w:pPr>
      <w:r w:rsidRPr="00A911C8">
        <w:rPr>
          <w:rStyle w:val="EndnoteReference"/>
        </w:rPr>
        <w:endnoteRef/>
      </w:r>
      <w:r w:rsidRPr="00A911C8">
        <w:t xml:space="preserve"> CRS report: Presidential Appointee Positions Requiring Senate Confirmation and Committees Handling Nominations, 2016</w:t>
      </w:r>
    </w:p>
  </w:endnote>
  <w:endnote w:id="2">
    <w:p w:rsidR="0031532B" w:rsidRDefault="0031532B">
      <w:pPr>
        <w:pStyle w:val="EndnoteText"/>
      </w:pPr>
      <w:r>
        <w:rPr>
          <w:rStyle w:val="EndnoteReference"/>
        </w:rPr>
        <w:endnoteRef/>
      </w:r>
      <w:r>
        <w:t xml:space="preserve"> </w:t>
      </w:r>
      <w:r w:rsidR="00881E2F">
        <w:t>The Consolidated Appropriations Act, 2017 (Public Law 115-31, May 5, 2017), contains a provision that continues the freeze on the payable pay rates for certain senior political officials at 2013 levels during calendar year 2017.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959" w:rsidRDefault="00234959" w:rsidP="001E22F1">
      <w:r>
        <w:separator/>
      </w:r>
    </w:p>
  </w:footnote>
  <w:footnote w:type="continuationSeparator" w:id="0">
    <w:p w:rsidR="00234959" w:rsidRDefault="00234959"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62329B"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274CC"/>
    <w:multiLevelType w:val="hybridMultilevel"/>
    <w:tmpl w:val="3B1E7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
  </w:num>
  <w:num w:numId="3">
    <w:abstractNumId w:val="11"/>
  </w:num>
  <w:num w:numId="4">
    <w:abstractNumId w:val="42"/>
  </w:num>
  <w:num w:numId="5">
    <w:abstractNumId w:val="5"/>
  </w:num>
  <w:num w:numId="6">
    <w:abstractNumId w:val="38"/>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7"/>
  </w:num>
  <w:num w:numId="19">
    <w:abstractNumId w:val="8"/>
  </w:num>
  <w:num w:numId="20">
    <w:abstractNumId w:val="28"/>
  </w:num>
  <w:num w:numId="21">
    <w:abstractNumId w:val="34"/>
  </w:num>
  <w:num w:numId="22">
    <w:abstractNumId w:val="10"/>
  </w:num>
  <w:num w:numId="23">
    <w:abstractNumId w:val="7"/>
  </w:num>
  <w:num w:numId="24">
    <w:abstractNumId w:val="35"/>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40"/>
  </w:num>
  <w:num w:numId="32">
    <w:abstractNumId w:val="41"/>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6"/>
  </w:num>
  <w:num w:numId="42">
    <w:abstractNumId w:val="16"/>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9535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4959"/>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1532B"/>
    <w:rsid w:val="00321F38"/>
    <w:rsid w:val="00330ACB"/>
    <w:rsid w:val="00331394"/>
    <w:rsid w:val="003317A8"/>
    <w:rsid w:val="003353C5"/>
    <w:rsid w:val="003454E5"/>
    <w:rsid w:val="00347F97"/>
    <w:rsid w:val="00354173"/>
    <w:rsid w:val="003616AC"/>
    <w:rsid w:val="00366270"/>
    <w:rsid w:val="00370ED0"/>
    <w:rsid w:val="003717C7"/>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9D4"/>
    <w:rsid w:val="00532BE2"/>
    <w:rsid w:val="00533A4D"/>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2329B"/>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1E2F"/>
    <w:rsid w:val="00883089"/>
    <w:rsid w:val="00883BC8"/>
    <w:rsid w:val="00892EDB"/>
    <w:rsid w:val="0089745E"/>
    <w:rsid w:val="00897ABC"/>
    <w:rsid w:val="008A05DD"/>
    <w:rsid w:val="008A7731"/>
    <w:rsid w:val="008B4CA7"/>
    <w:rsid w:val="008B7489"/>
    <w:rsid w:val="008C5194"/>
    <w:rsid w:val="008C7F86"/>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025F"/>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iPriority w:val="99"/>
    <w:semiHidden/>
    <w:unhideWhenUsed/>
    <w:rsid w:val="0030193E"/>
    <w:rPr>
      <w:sz w:val="20"/>
      <w:szCs w:val="20"/>
    </w:rPr>
  </w:style>
  <w:style w:type="character" w:customStyle="1" w:styleId="EndnoteTextChar">
    <w:name w:val="Endnote Text Char"/>
    <w:basedOn w:val="DefaultParagraphFont"/>
    <w:link w:val="EndnoteText"/>
    <w:uiPriority w:val="99"/>
    <w:semiHidden/>
    <w:rsid w:val="0030193E"/>
    <w:rPr>
      <w:sz w:val="20"/>
      <w:szCs w:val="20"/>
    </w:rPr>
  </w:style>
  <w:style w:type="character" w:styleId="EndnoteReference">
    <w:name w:val="endnote reference"/>
    <w:basedOn w:val="DefaultParagraphFont"/>
    <w:uiPriority w:val="99"/>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45CDB"/>
    <w:rsid w:val="008638AA"/>
    <w:rsid w:val="0087154F"/>
    <w:rsid w:val="008F1F7B"/>
    <w:rsid w:val="008F5F77"/>
    <w:rsid w:val="00A35869"/>
    <w:rsid w:val="00A9166C"/>
    <w:rsid w:val="00AC054C"/>
    <w:rsid w:val="00AC0DBB"/>
    <w:rsid w:val="00BB64E1"/>
    <w:rsid w:val="00BE0041"/>
    <w:rsid w:val="00C36CDA"/>
    <w:rsid w:val="00D4302A"/>
    <w:rsid w:val="00DB07EE"/>
    <w:rsid w:val="00DC5B39"/>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2389D12F-D49D-42D9-BAB5-6B4FB4878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4020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Laura Pietrantoni</cp:lastModifiedBy>
  <cp:revision>7</cp:revision>
  <cp:lastPrinted>2016-07-12T18:00:00Z</cp:lastPrinted>
  <dcterms:created xsi:type="dcterms:W3CDTF">2017-02-17T16:56:00Z</dcterms:created>
  <dcterms:modified xsi:type="dcterms:W3CDTF">2017-08-25T14:19:00Z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