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494D" w14:textId="77777777" w:rsidR="00E71E50" w:rsidRDefault="00E71E50" w:rsidP="156FD3BA">
      <w:pPr>
        <w:pStyle w:val="Heading1"/>
        <w:spacing w:before="0" w:after="0"/>
        <w:rPr>
          <w:rFonts w:asciiTheme="majorHAnsi" w:hAnsiTheme="majorHAnsi"/>
          <w:b w:val="0"/>
          <w:bCs w:val="0"/>
          <w:sz w:val="20"/>
          <w:szCs w:val="20"/>
        </w:rPr>
      </w:pPr>
      <w:bookmarkStart w:id="0" w:name="_Toc143586611"/>
    </w:p>
    <w:p w14:paraId="1A668D91" w14:textId="62CC4ACB" w:rsidR="006B6494" w:rsidRPr="00D56177" w:rsidRDefault="006B6494" w:rsidP="156FD3BA">
      <w:pPr>
        <w:pStyle w:val="Heading1"/>
        <w:spacing w:before="0" w:after="0"/>
        <w:rPr>
          <w:rFonts w:asciiTheme="majorHAnsi" w:hAnsiTheme="majorHAnsi"/>
          <w:b w:val="0"/>
          <w:bCs w:val="0"/>
          <w:sz w:val="20"/>
          <w:szCs w:val="20"/>
        </w:rPr>
      </w:pPr>
      <w:r w:rsidRPr="156FD3BA">
        <w:rPr>
          <w:rFonts w:asciiTheme="majorHAnsi" w:hAnsiTheme="majorHAnsi"/>
          <w:b w:val="0"/>
          <w:bCs w:val="0"/>
          <w:sz w:val="20"/>
          <w:szCs w:val="20"/>
        </w:rPr>
        <w:t>POSITION DESCRIPTION</w:t>
      </w:r>
    </w:p>
    <w:p w14:paraId="6B51A7E6" w14:textId="26023035" w:rsidR="006B6494" w:rsidRPr="00D56177" w:rsidRDefault="006E1441" w:rsidP="009C7872">
      <w:pPr>
        <w:pStyle w:val="Heading1"/>
        <w:spacing w:before="120" w:after="0"/>
        <w:rPr>
          <w:rFonts w:asciiTheme="majorHAnsi" w:hAnsiTheme="majorHAnsi"/>
        </w:rPr>
      </w:pPr>
      <w:r w:rsidRPr="156FD3BA">
        <w:rPr>
          <w:rFonts w:asciiTheme="majorHAnsi" w:hAnsiTheme="majorHAnsi"/>
        </w:rPr>
        <w:t>Chief financial officer, department of agriculture</w:t>
      </w:r>
    </w:p>
    <w:p w14:paraId="36A3138C" w14:textId="77777777" w:rsidR="006B6494" w:rsidRPr="00D56177" w:rsidRDefault="006B6494" w:rsidP="006B6494">
      <w:pPr>
        <w:rPr>
          <w:rFonts w:asciiTheme="majorHAnsi" w:hAnsiTheme="majorHAnsi" w:cstheme="majorHAnsi"/>
        </w:rPr>
      </w:pPr>
    </w:p>
    <w:tbl>
      <w:tblPr>
        <w:tblStyle w:val="TableGrid"/>
        <w:tblW w:w="9630" w:type="dxa"/>
        <w:tblInd w:w="-3" w:type="dxa"/>
        <w:tblCellMar>
          <w:top w:w="58" w:type="dxa"/>
          <w:left w:w="115" w:type="dxa"/>
          <w:bottom w:w="58" w:type="dxa"/>
          <w:right w:w="115" w:type="dxa"/>
        </w:tblCellMar>
        <w:tblLook w:val="04A0" w:firstRow="1" w:lastRow="0" w:firstColumn="1" w:lastColumn="0" w:noHBand="0" w:noVBand="1"/>
      </w:tblPr>
      <w:tblGrid>
        <w:gridCol w:w="2782"/>
        <w:gridCol w:w="6848"/>
      </w:tblGrid>
      <w:tr w:rsidR="006B6494" w:rsidRPr="00D56177" w14:paraId="737C1963" w14:textId="77777777" w:rsidTr="00643398">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931B867" w14:textId="77777777" w:rsidR="006B6494" w:rsidRPr="00D56177" w:rsidRDefault="006B6494" w:rsidP="00C0645F">
            <w:pPr>
              <w:jc w:val="center"/>
              <w:rPr>
                <w:rFonts w:asciiTheme="majorHAnsi" w:hAnsiTheme="majorHAnsi" w:cstheme="majorHAnsi"/>
                <w:b/>
              </w:rPr>
            </w:pPr>
            <w:r w:rsidRPr="00D56177">
              <w:rPr>
                <w:rFonts w:asciiTheme="majorHAnsi" w:hAnsiTheme="majorHAnsi" w:cstheme="majorHAnsi"/>
                <w:b/>
              </w:rPr>
              <w:t>OVERVIEW</w:t>
            </w:r>
          </w:p>
        </w:tc>
      </w:tr>
      <w:tr w:rsidR="00BF5FCE" w:rsidRPr="00D56177" w14:paraId="099DF79A" w14:textId="77777777" w:rsidTr="00643398">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AE6E039" w14:textId="77777777" w:rsidR="00BF5FCE" w:rsidRPr="00D56177" w:rsidRDefault="00BF5FCE" w:rsidP="00BF5FCE">
            <w:pPr>
              <w:rPr>
                <w:rFonts w:asciiTheme="majorHAnsi" w:hAnsiTheme="majorHAnsi" w:cstheme="majorHAnsi"/>
              </w:rPr>
            </w:pPr>
            <w:r w:rsidRPr="00D56177">
              <w:rPr>
                <w:rFonts w:asciiTheme="majorHAnsi" w:hAnsiTheme="majorHAnsi" w:cstheme="majorHAnsi"/>
              </w:rPr>
              <w:t>Senate Committee</w:t>
            </w:r>
          </w:p>
        </w:tc>
        <w:tc>
          <w:tcPr>
            <w:tcW w:w="6848" w:type="dxa"/>
            <w:tcBorders>
              <w:top w:val="single" w:sz="2" w:space="0" w:color="auto"/>
              <w:left w:val="single" w:sz="2" w:space="0" w:color="auto"/>
              <w:bottom w:val="single" w:sz="2" w:space="0" w:color="auto"/>
              <w:right w:val="single" w:sz="2" w:space="0" w:color="auto"/>
            </w:tcBorders>
          </w:tcPr>
          <w:p w14:paraId="38B16C8C" w14:textId="4212B7E1" w:rsidR="00BF5FCE" w:rsidRPr="00055466" w:rsidRDefault="00BF5FCE" w:rsidP="00BF5FCE">
            <w:pPr>
              <w:contextualSpacing/>
              <w:rPr>
                <w:rFonts w:asciiTheme="majorHAnsi" w:hAnsiTheme="majorHAnsi" w:cstheme="majorHAnsi"/>
              </w:rPr>
            </w:pPr>
            <w:r w:rsidRPr="00D50C25">
              <w:rPr>
                <w:rFonts w:asciiTheme="majorHAnsi" w:hAnsiTheme="majorHAnsi" w:cstheme="majorHAnsi"/>
              </w:rPr>
              <w:t>Agriculture, Nutrition and Forestry</w:t>
            </w:r>
          </w:p>
        </w:tc>
      </w:tr>
      <w:tr w:rsidR="00BF5FCE" w:rsidRPr="00D56177" w14:paraId="59FB732B" w14:textId="77777777" w:rsidTr="00643398">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308007" w14:textId="77777777" w:rsidR="00BF5FCE" w:rsidRPr="00D56177" w:rsidRDefault="00BF5FCE" w:rsidP="00BF5FCE">
            <w:pPr>
              <w:rPr>
                <w:rFonts w:asciiTheme="majorHAnsi" w:hAnsiTheme="majorHAnsi" w:cstheme="majorHAnsi"/>
              </w:rPr>
            </w:pPr>
            <w:r w:rsidRPr="00D56177">
              <w:rPr>
                <w:rFonts w:asciiTheme="majorHAnsi" w:hAnsiTheme="majorHAnsi" w:cstheme="majorHAnsi"/>
              </w:rPr>
              <w:t>Agency Mission</w:t>
            </w:r>
          </w:p>
        </w:tc>
        <w:tc>
          <w:tcPr>
            <w:tcW w:w="6848" w:type="dxa"/>
            <w:tcBorders>
              <w:top w:val="single" w:sz="2" w:space="0" w:color="auto"/>
              <w:left w:val="single" w:sz="2" w:space="0" w:color="auto"/>
              <w:bottom w:val="single" w:sz="2" w:space="0" w:color="auto"/>
              <w:right w:val="single" w:sz="2" w:space="0" w:color="auto"/>
            </w:tcBorders>
          </w:tcPr>
          <w:p w14:paraId="3BAC3F0C" w14:textId="325FCBB7" w:rsidR="00BF5FCE" w:rsidRPr="00D56177" w:rsidRDefault="00BF5FCE" w:rsidP="00BF5FCE">
            <w:pPr>
              <w:rPr>
                <w:rFonts w:asciiTheme="majorHAnsi" w:hAnsiTheme="majorHAnsi" w:cstheme="majorHAnsi"/>
              </w:rPr>
            </w:pPr>
            <w:r w:rsidRPr="00D50C25">
              <w:rPr>
                <w:rFonts w:asciiTheme="majorHAnsi" w:hAnsiTheme="majorHAnsi" w:cstheme="majorHAnsi"/>
                <w:bCs/>
                <w:lang w:val="en"/>
              </w:rPr>
              <w:t xml:space="preserve">To </w:t>
            </w:r>
            <w:r w:rsidRPr="00D50C25">
              <w:rPr>
                <w:rFonts w:asciiTheme="majorHAnsi" w:hAnsiTheme="majorHAnsi" w:cstheme="majorHAnsi"/>
              </w:rPr>
              <w:t>provide leadership on food, agriculture, natural resources, rural development, nutrition and related issues based on public policy, the best available science and effective management. To provide economic opportunity through innovation, helping rural America to thrive; to promote agriculture production that better nourishes Americans while also helping feed others throughout the world; and to preserve our nation's natural resources through conservation, restored forests, improved watersheds and healthy private working lands.</w:t>
            </w:r>
          </w:p>
        </w:tc>
      </w:tr>
      <w:tr w:rsidR="00BF5FCE" w:rsidRPr="00D56177" w14:paraId="4AABA5FC" w14:textId="77777777" w:rsidTr="00643398">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E7E2139" w14:textId="77777777" w:rsidR="00BF5FCE" w:rsidRPr="00D56177" w:rsidRDefault="00BF5FCE" w:rsidP="00BF5FCE">
            <w:pPr>
              <w:rPr>
                <w:rFonts w:asciiTheme="majorHAnsi" w:hAnsiTheme="majorHAnsi" w:cstheme="majorHAnsi"/>
              </w:rPr>
            </w:pPr>
            <w:r w:rsidRPr="00D56177">
              <w:rPr>
                <w:rFonts w:asciiTheme="majorHAnsi" w:hAnsiTheme="majorHAnsi" w:cstheme="majorHAnsi"/>
              </w:rPr>
              <w:t>Position Overview</w:t>
            </w:r>
          </w:p>
        </w:tc>
        <w:tc>
          <w:tcPr>
            <w:tcW w:w="6848" w:type="dxa"/>
            <w:tcBorders>
              <w:top w:val="single" w:sz="2" w:space="0" w:color="auto"/>
              <w:left w:val="single" w:sz="2" w:space="0" w:color="auto"/>
              <w:bottom w:val="single" w:sz="2" w:space="0" w:color="auto"/>
              <w:right w:val="single" w:sz="2" w:space="0" w:color="auto"/>
            </w:tcBorders>
          </w:tcPr>
          <w:p w14:paraId="67CD510F" w14:textId="6DD1DD37" w:rsidR="00BF5FCE" w:rsidRPr="00D56177" w:rsidRDefault="00BF5FCE" w:rsidP="156FD3BA">
            <w:pPr>
              <w:rPr>
                <w:rFonts w:asciiTheme="majorHAnsi" w:hAnsiTheme="majorHAnsi" w:cstheme="majorBidi"/>
              </w:rPr>
            </w:pPr>
            <w:r w:rsidRPr="156FD3BA">
              <w:rPr>
                <w:rFonts w:asciiTheme="majorHAnsi" w:hAnsiTheme="majorHAnsi" w:cstheme="majorBidi"/>
                <w:lang w:val="en"/>
              </w:rPr>
              <w:t xml:space="preserve">The chief financial officer </w:t>
            </w:r>
            <w:r w:rsidR="00117030" w:rsidRPr="156FD3BA">
              <w:rPr>
                <w:rFonts w:asciiTheme="majorHAnsi" w:hAnsiTheme="majorHAnsi" w:cstheme="majorBidi"/>
                <w:lang w:val="en"/>
              </w:rPr>
              <w:t>(CFO)</w:t>
            </w:r>
            <w:r w:rsidRPr="156FD3BA">
              <w:rPr>
                <w:rFonts w:asciiTheme="majorHAnsi" w:hAnsiTheme="majorHAnsi" w:cstheme="majorBidi"/>
                <w:lang w:val="en"/>
              </w:rPr>
              <w:t xml:space="preserve"> serves as the principal advisor to the secretary and senior officials on all matters related to financial management, financial management systems, financial control and accounting, internal control and assessment and financial management training. The</w:t>
            </w:r>
            <w:r w:rsidR="0026436F">
              <w:rPr>
                <w:rFonts w:asciiTheme="majorHAnsi" w:hAnsiTheme="majorHAnsi" w:cstheme="majorBidi"/>
                <w:lang w:val="en"/>
              </w:rPr>
              <w:t xml:space="preserve"> United States</w:t>
            </w:r>
            <w:r w:rsidR="00117030" w:rsidRPr="156FD3BA">
              <w:rPr>
                <w:rFonts w:asciiTheme="majorHAnsi" w:hAnsiTheme="majorHAnsi" w:cstheme="majorBidi"/>
                <w:lang w:val="en"/>
              </w:rPr>
              <w:t xml:space="preserve"> Department of Agriculture’s (USDA) </w:t>
            </w:r>
            <w:r w:rsidRPr="156FD3BA">
              <w:rPr>
                <w:rFonts w:asciiTheme="majorHAnsi" w:hAnsiTheme="majorHAnsi" w:cstheme="majorBidi"/>
                <w:lang w:val="en"/>
              </w:rPr>
              <w:t>CFO also has responsibility for the National Finance Center (NFC) in New Orleans, a major shared services payroll and human resources provider to other federal agencies. USDA is also an emerging financial management shared services provider to other agencies. CFOs also play a crucial government-wide role.</w:t>
            </w:r>
          </w:p>
        </w:tc>
      </w:tr>
      <w:tr w:rsidR="00BF5FCE" w:rsidRPr="00D56177" w14:paraId="668730D0" w14:textId="77777777" w:rsidTr="00643398">
        <w:trPr>
          <w:trHeight w:val="48"/>
        </w:trPr>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60B7FDA" w14:textId="77777777" w:rsidR="00BF5FCE" w:rsidRPr="00D56177" w:rsidRDefault="00BF5FCE" w:rsidP="00BF5FCE">
            <w:pPr>
              <w:rPr>
                <w:rFonts w:asciiTheme="majorHAnsi" w:hAnsiTheme="majorHAnsi" w:cstheme="majorHAnsi"/>
                <w:i/>
              </w:rPr>
            </w:pPr>
            <w:r w:rsidRPr="00D56177">
              <w:rPr>
                <w:rFonts w:asciiTheme="majorHAnsi" w:hAnsiTheme="majorHAnsi" w:cstheme="majorHAnsi"/>
              </w:rPr>
              <w:t>Compensation</w:t>
            </w:r>
          </w:p>
        </w:tc>
        <w:tc>
          <w:tcPr>
            <w:tcW w:w="6848" w:type="dxa"/>
            <w:tcBorders>
              <w:top w:val="single" w:sz="2" w:space="0" w:color="auto"/>
              <w:left w:val="single" w:sz="2" w:space="0" w:color="auto"/>
              <w:bottom w:val="single" w:sz="2" w:space="0" w:color="auto"/>
              <w:right w:val="single" w:sz="2" w:space="0" w:color="auto"/>
            </w:tcBorders>
          </w:tcPr>
          <w:p w14:paraId="723496B9" w14:textId="76CE207E" w:rsidR="00BF5FCE" w:rsidRPr="00D56177" w:rsidRDefault="00BF5FCE" w:rsidP="156FD3BA">
            <w:pPr>
              <w:rPr>
                <w:rFonts w:asciiTheme="majorHAnsi" w:hAnsiTheme="majorHAnsi" w:cstheme="majorBidi"/>
              </w:rPr>
            </w:pPr>
            <w:r w:rsidRPr="156FD3BA">
              <w:rPr>
                <w:rFonts w:asciiTheme="majorHAnsi" w:hAnsiTheme="majorHAnsi" w:cstheme="majorBidi"/>
              </w:rPr>
              <w:t>Level IV $</w:t>
            </w:r>
            <w:r w:rsidR="00184E8D" w:rsidRPr="00184E8D">
              <w:rPr>
                <w:rFonts w:asciiTheme="majorHAnsi" w:hAnsiTheme="majorHAnsi" w:cstheme="majorBidi"/>
              </w:rPr>
              <w:t>158,500</w:t>
            </w:r>
            <w:r w:rsidR="00184E8D" w:rsidRPr="00184E8D">
              <w:rPr>
                <w:rFonts w:asciiTheme="majorHAnsi" w:hAnsiTheme="majorHAnsi" w:cstheme="majorBidi"/>
              </w:rPr>
              <w:t xml:space="preserve"> </w:t>
            </w:r>
            <w:r w:rsidRPr="156FD3BA">
              <w:rPr>
                <w:rFonts w:asciiTheme="majorHAnsi" w:hAnsiTheme="majorHAnsi" w:cstheme="majorBidi"/>
              </w:rPr>
              <w:t>(</w:t>
            </w:r>
            <w:r w:rsidRPr="156FD3BA">
              <w:rPr>
                <w:rFonts w:asciiTheme="majorHAnsi" w:hAnsiTheme="majorHAnsi" w:cstheme="majorBidi"/>
                <w:lang w:val="en"/>
              </w:rPr>
              <w:t>5 U.S.C. § 5315)</w:t>
            </w:r>
            <w:r w:rsidRPr="156FD3BA">
              <w:rPr>
                <w:rStyle w:val="EndnoteReference"/>
                <w:rFonts w:asciiTheme="majorHAnsi" w:hAnsiTheme="majorHAnsi" w:cstheme="majorBidi"/>
                <w:lang w:val="en"/>
              </w:rPr>
              <w:endnoteReference w:id="1"/>
            </w:r>
          </w:p>
        </w:tc>
      </w:tr>
      <w:tr w:rsidR="00BF5FCE" w:rsidRPr="00D56177" w14:paraId="5DB130D9" w14:textId="77777777" w:rsidTr="00643398">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B689445" w14:textId="77777777" w:rsidR="00BF5FCE" w:rsidRPr="00D56177" w:rsidRDefault="00BF5FCE" w:rsidP="00BF5FCE">
            <w:pPr>
              <w:rPr>
                <w:rFonts w:asciiTheme="majorHAnsi" w:hAnsiTheme="majorHAnsi" w:cstheme="majorHAnsi"/>
              </w:rPr>
            </w:pPr>
            <w:r w:rsidRPr="00D56177">
              <w:rPr>
                <w:rFonts w:asciiTheme="majorHAnsi" w:hAnsiTheme="majorHAnsi" w:cstheme="majorHAnsi"/>
              </w:rPr>
              <w:t>Position Reports to</w:t>
            </w:r>
          </w:p>
        </w:tc>
        <w:tc>
          <w:tcPr>
            <w:tcW w:w="6848" w:type="dxa"/>
            <w:tcBorders>
              <w:top w:val="single" w:sz="2" w:space="0" w:color="auto"/>
              <w:left w:val="single" w:sz="2" w:space="0" w:color="auto"/>
              <w:bottom w:val="single" w:sz="2" w:space="0" w:color="auto"/>
              <w:right w:val="single" w:sz="2" w:space="0" w:color="auto"/>
            </w:tcBorders>
          </w:tcPr>
          <w:p w14:paraId="260D0CCF" w14:textId="21A03CFC" w:rsidR="00BF5FCE" w:rsidRPr="00D56177" w:rsidRDefault="00BF5FCE" w:rsidP="00BF5FCE">
            <w:pPr>
              <w:rPr>
                <w:rFonts w:asciiTheme="majorHAnsi" w:hAnsiTheme="majorHAnsi" w:cstheme="majorHAnsi"/>
              </w:rPr>
            </w:pPr>
            <w:r w:rsidRPr="00D50C25">
              <w:rPr>
                <w:rFonts w:asciiTheme="majorHAnsi" w:hAnsiTheme="majorHAnsi" w:cstheme="majorHAnsi"/>
              </w:rPr>
              <w:t>Secretary of Agriculture</w:t>
            </w:r>
          </w:p>
        </w:tc>
      </w:tr>
      <w:tr w:rsidR="006B6494" w:rsidRPr="00D56177" w14:paraId="67A00898" w14:textId="77777777" w:rsidTr="00643398">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1ABD1E4" w14:textId="77777777" w:rsidR="006B6494" w:rsidRPr="00D56177" w:rsidRDefault="006B6494" w:rsidP="00C0645F">
            <w:pPr>
              <w:jc w:val="center"/>
              <w:rPr>
                <w:rFonts w:asciiTheme="majorHAnsi" w:hAnsiTheme="majorHAnsi" w:cstheme="majorHAnsi"/>
                <w:b/>
              </w:rPr>
            </w:pPr>
            <w:r w:rsidRPr="00D56177">
              <w:rPr>
                <w:rFonts w:asciiTheme="majorHAnsi" w:hAnsiTheme="majorHAnsi" w:cstheme="majorHAnsi"/>
                <w:b/>
              </w:rPr>
              <w:t>RESPONSIBILITIES</w:t>
            </w:r>
          </w:p>
        </w:tc>
      </w:tr>
      <w:tr w:rsidR="00BF5FCE" w:rsidRPr="00D56177" w14:paraId="6489D3E0" w14:textId="77777777" w:rsidTr="00643398">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176974C" w14:textId="77777777" w:rsidR="00BF5FCE" w:rsidRPr="00D56177" w:rsidRDefault="00BF5FCE" w:rsidP="00BF5FCE">
            <w:pPr>
              <w:rPr>
                <w:rFonts w:asciiTheme="majorHAnsi" w:hAnsiTheme="majorHAnsi" w:cstheme="majorHAnsi"/>
              </w:rPr>
            </w:pPr>
            <w:r w:rsidRPr="00D56177">
              <w:rPr>
                <w:rFonts w:asciiTheme="majorHAnsi" w:hAnsiTheme="majorHAnsi" w:cstheme="majorHAnsi"/>
              </w:rPr>
              <w:t>Management Scope</w:t>
            </w:r>
          </w:p>
        </w:tc>
        <w:tc>
          <w:tcPr>
            <w:tcW w:w="6848" w:type="dxa"/>
            <w:tcBorders>
              <w:top w:val="single" w:sz="2" w:space="0" w:color="auto"/>
              <w:left w:val="single" w:sz="2" w:space="0" w:color="auto"/>
              <w:bottom w:val="single" w:sz="2" w:space="0" w:color="auto"/>
              <w:right w:val="single" w:sz="2" w:space="0" w:color="auto"/>
            </w:tcBorders>
          </w:tcPr>
          <w:p w14:paraId="3D96FD8D" w14:textId="33437E39" w:rsidR="00BF5FCE" w:rsidRPr="00D56177" w:rsidRDefault="302D9A32" w:rsidP="156FD3BA">
            <w:pPr>
              <w:contextualSpacing/>
              <w:rPr>
                <w:rFonts w:asciiTheme="majorHAnsi" w:hAnsiTheme="majorHAnsi" w:cstheme="majorBidi"/>
              </w:rPr>
            </w:pPr>
            <w:r w:rsidRPr="156FD3BA">
              <w:rPr>
                <w:rFonts w:asciiTheme="majorHAnsi" w:hAnsiTheme="majorHAnsi" w:cstheme="majorBidi"/>
              </w:rPr>
              <w:t xml:space="preserve">The Office of the Chief Financial Officer is responsible for the financial leadership of an enterprise that has more than 100,000 employees, 14,000 offices </w:t>
            </w:r>
            <w:r w:rsidR="03371225" w:rsidRPr="156FD3BA">
              <w:rPr>
                <w:rFonts w:asciiTheme="majorHAnsi" w:hAnsiTheme="majorHAnsi" w:cstheme="majorBidi"/>
              </w:rPr>
              <w:t>and field locations, $208 billion in assets, and $143 billion in annual spending.</w:t>
            </w:r>
            <w:r w:rsidR="00BF5FCE" w:rsidRPr="156FD3BA">
              <w:rPr>
                <w:rStyle w:val="EndnoteReference"/>
                <w:rFonts w:asciiTheme="majorHAnsi" w:hAnsiTheme="majorHAnsi" w:cstheme="majorBidi"/>
              </w:rPr>
              <w:endnoteReference w:id="2"/>
            </w:r>
            <w:r w:rsidR="3771C1EA" w:rsidRPr="156FD3BA">
              <w:rPr>
                <w:rFonts w:asciiTheme="majorHAnsi" w:hAnsiTheme="majorHAnsi" w:cstheme="majorBidi"/>
              </w:rPr>
              <w:t xml:space="preserve"> </w:t>
            </w:r>
          </w:p>
        </w:tc>
      </w:tr>
      <w:tr w:rsidR="00BF5FCE" w:rsidRPr="00D56177" w14:paraId="357F579A" w14:textId="77777777" w:rsidTr="00643398">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69232E3" w14:textId="77777777" w:rsidR="00BF5FCE" w:rsidRPr="00D56177" w:rsidRDefault="00BF5FCE" w:rsidP="00BF5FCE">
            <w:pPr>
              <w:rPr>
                <w:rFonts w:asciiTheme="majorHAnsi" w:hAnsiTheme="majorHAnsi" w:cstheme="majorHAnsi"/>
              </w:rPr>
            </w:pPr>
            <w:r w:rsidRPr="00D56177">
              <w:rPr>
                <w:rFonts w:asciiTheme="majorHAnsi" w:hAnsiTheme="majorHAnsi" w:cstheme="majorHAnsi"/>
              </w:rPr>
              <w:t>Primary Responsibilities</w:t>
            </w:r>
          </w:p>
        </w:tc>
        <w:tc>
          <w:tcPr>
            <w:tcW w:w="6848" w:type="dxa"/>
            <w:tcBorders>
              <w:top w:val="single" w:sz="2" w:space="0" w:color="auto"/>
              <w:left w:val="single" w:sz="2" w:space="0" w:color="auto"/>
              <w:bottom w:val="single" w:sz="2" w:space="0" w:color="auto"/>
              <w:right w:val="single" w:sz="2" w:space="0" w:color="auto"/>
            </w:tcBorders>
          </w:tcPr>
          <w:p w14:paraId="4B2776B0" w14:textId="77777777" w:rsidR="00BF5FCE" w:rsidRPr="00D50C25" w:rsidRDefault="00BF5FCE" w:rsidP="00BF5FCE">
            <w:pPr>
              <w:numPr>
                <w:ilvl w:val="0"/>
                <w:numId w:val="18"/>
              </w:numPr>
              <w:contextualSpacing/>
              <w:rPr>
                <w:rFonts w:asciiTheme="majorHAnsi" w:hAnsiTheme="majorHAnsi" w:cstheme="majorHAnsi"/>
              </w:rPr>
            </w:pPr>
            <w:r w:rsidRPr="00D50C25">
              <w:rPr>
                <w:rFonts w:asciiTheme="majorHAnsi" w:hAnsiTheme="majorHAnsi" w:cstheme="majorHAnsi"/>
              </w:rPr>
              <w:t>Oversees development of financial statements, cost accounting policy and financial management budgets.</w:t>
            </w:r>
          </w:p>
          <w:p w14:paraId="4401178D" w14:textId="77777777" w:rsidR="00BF5FCE" w:rsidRPr="00D50C25" w:rsidRDefault="00BF5FCE" w:rsidP="00BF5FCE">
            <w:pPr>
              <w:numPr>
                <w:ilvl w:val="0"/>
                <w:numId w:val="18"/>
              </w:numPr>
              <w:contextualSpacing/>
              <w:rPr>
                <w:rFonts w:asciiTheme="majorHAnsi" w:hAnsiTheme="majorHAnsi" w:cstheme="majorHAnsi"/>
              </w:rPr>
            </w:pPr>
            <w:r w:rsidRPr="00D50C25">
              <w:rPr>
                <w:rFonts w:asciiTheme="majorHAnsi" w:hAnsiTheme="majorHAnsi" w:cstheme="majorHAnsi"/>
              </w:rPr>
              <w:t>Oversees policy guidance and oversight of the department's internal controls and management accountability programs and reporting to ensure adequate controls over department assets.</w:t>
            </w:r>
          </w:p>
          <w:p w14:paraId="78F15F5A" w14:textId="77777777" w:rsidR="00BF5FCE" w:rsidRPr="00D50C25" w:rsidRDefault="00BF5FCE" w:rsidP="00BF5FCE">
            <w:pPr>
              <w:numPr>
                <w:ilvl w:val="0"/>
                <w:numId w:val="18"/>
              </w:numPr>
              <w:contextualSpacing/>
              <w:rPr>
                <w:rFonts w:asciiTheme="majorHAnsi" w:hAnsiTheme="majorHAnsi" w:cstheme="majorHAnsi"/>
              </w:rPr>
            </w:pPr>
            <w:r w:rsidRPr="00D50C25">
              <w:rPr>
                <w:rFonts w:asciiTheme="majorHAnsi" w:hAnsiTheme="majorHAnsi" w:cstheme="majorHAnsi"/>
              </w:rPr>
              <w:t>Maintains oversight of the Departmental Working Capital Fund.</w:t>
            </w:r>
          </w:p>
          <w:p w14:paraId="5EE3E572" w14:textId="77777777" w:rsidR="00BF5FCE" w:rsidRPr="00D50C25" w:rsidRDefault="00BF5FCE" w:rsidP="00BF5FCE">
            <w:pPr>
              <w:numPr>
                <w:ilvl w:val="0"/>
                <w:numId w:val="18"/>
              </w:numPr>
              <w:contextualSpacing/>
              <w:rPr>
                <w:rFonts w:asciiTheme="majorHAnsi" w:hAnsiTheme="majorHAnsi" w:cstheme="majorHAnsi"/>
              </w:rPr>
            </w:pPr>
            <w:r w:rsidRPr="00D50C25">
              <w:rPr>
                <w:rFonts w:asciiTheme="majorHAnsi" w:hAnsiTheme="majorHAnsi" w:cstheme="majorHAnsi"/>
              </w:rPr>
              <w:t xml:space="preserve">Manages the National Finance Center, </w:t>
            </w:r>
            <w:r w:rsidRPr="00D50C25">
              <w:rPr>
                <w:rFonts w:asciiTheme="majorHAnsi" w:hAnsiTheme="majorHAnsi" w:cstheme="majorHAnsi"/>
                <w:bCs/>
                <w:lang w:val="en"/>
              </w:rPr>
              <w:t xml:space="preserve">a major shared services payroll and human resources provider to other federal agencies. </w:t>
            </w:r>
          </w:p>
          <w:p w14:paraId="67E63A07" w14:textId="77777777" w:rsidR="00BF5FCE" w:rsidRPr="00D50C25" w:rsidRDefault="00BF5FCE" w:rsidP="00BF5FCE">
            <w:pPr>
              <w:numPr>
                <w:ilvl w:val="0"/>
                <w:numId w:val="18"/>
              </w:numPr>
              <w:contextualSpacing/>
              <w:rPr>
                <w:rFonts w:asciiTheme="majorHAnsi" w:hAnsiTheme="majorHAnsi" w:cstheme="majorHAnsi"/>
              </w:rPr>
            </w:pPr>
            <w:r w:rsidRPr="00D50C25">
              <w:rPr>
                <w:rFonts w:asciiTheme="majorHAnsi" w:hAnsiTheme="majorHAnsi" w:cstheme="majorHAnsi"/>
              </w:rPr>
              <w:t>Provides financial management shared services for other federal agencies.</w:t>
            </w:r>
          </w:p>
          <w:p w14:paraId="064D02CD" w14:textId="77777777" w:rsidR="00BF5FCE" w:rsidRPr="00D50C25" w:rsidRDefault="00BF5FCE" w:rsidP="00BF5FCE">
            <w:pPr>
              <w:numPr>
                <w:ilvl w:val="0"/>
                <w:numId w:val="18"/>
              </w:numPr>
              <w:contextualSpacing/>
              <w:rPr>
                <w:rFonts w:asciiTheme="majorHAnsi" w:hAnsiTheme="majorHAnsi" w:cstheme="majorHAnsi"/>
              </w:rPr>
            </w:pPr>
            <w:r w:rsidRPr="00D50C25">
              <w:rPr>
                <w:rFonts w:asciiTheme="majorHAnsi" w:hAnsiTheme="majorHAnsi" w:cstheme="majorHAnsi"/>
              </w:rPr>
              <w:t>Provides policy guidance and oversight of the travel system, grants management, cash and credit management operations and other financial management functions.</w:t>
            </w:r>
          </w:p>
          <w:p w14:paraId="5371274C" w14:textId="77777777" w:rsidR="00BF5FCE" w:rsidRPr="00D50C25" w:rsidRDefault="00BF5FCE" w:rsidP="00BF5FCE">
            <w:pPr>
              <w:numPr>
                <w:ilvl w:val="0"/>
                <w:numId w:val="18"/>
              </w:numPr>
              <w:contextualSpacing/>
              <w:rPr>
                <w:rFonts w:asciiTheme="majorHAnsi" w:hAnsiTheme="majorHAnsi" w:cstheme="majorHAnsi"/>
              </w:rPr>
            </w:pPr>
            <w:r w:rsidRPr="00D50C25">
              <w:rPr>
                <w:rFonts w:asciiTheme="majorHAnsi" w:hAnsiTheme="majorHAnsi" w:cstheme="majorHAnsi"/>
              </w:rPr>
              <w:lastRenderedPageBreak/>
              <w:t>Oversees the recruitment, selection and training of personnel to carry out agency financial management functions, as well as manages, trains and provides policy guidance and oversight of these personnel and their activities.</w:t>
            </w:r>
          </w:p>
          <w:p w14:paraId="36FD6A9F" w14:textId="39004AC1" w:rsidR="00BF5FCE" w:rsidRPr="00751926" w:rsidRDefault="00BF5FCE" w:rsidP="00751926">
            <w:pPr>
              <w:numPr>
                <w:ilvl w:val="0"/>
                <w:numId w:val="18"/>
              </w:numPr>
              <w:contextualSpacing/>
              <w:rPr>
                <w:rFonts w:asciiTheme="majorHAnsi" w:hAnsiTheme="majorHAnsi" w:cstheme="majorHAnsi"/>
              </w:rPr>
            </w:pPr>
            <w:r w:rsidRPr="00D50C25">
              <w:rPr>
                <w:rFonts w:asciiTheme="majorHAnsi" w:hAnsiTheme="majorHAnsi" w:cstheme="majorHAnsi"/>
              </w:rPr>
              <w:t xml:space="preserve">Manages the financial execution of the agency budget and actual </w:t>
            </w:r>
            <w:proofErr w:type="gramStart"/>
            <w:r w:rsidRPr="00D50C25">
              <w:rPr>
                <w:rFonts w:asciiTheme="majorHAnsi" w:hAnsiTheme="majorHAnsi" w:cstheme="majorHAnsi"/>
              </w:rPr>
              <w:t>expenditure</w:t>
            </w:r>
            <w:r w:rsidR="00751926">
              <w:rPr>
                <w:rFonts w:asciiTheme="majorHAnsi" w:hAnsiTheme="majorHAnsi" w:cstheme="majorHAnsi"/>
              </w:rPr>
              <w:t>s, and</w:t>
            </w:r>
            <w:proofErr w:type="gramEnd"/>
            <w:r w:rsidR="00751926">
              <w:rPr>
                <w:rFonts w:asciiTheme="majorHAnsi" w:hAnsiTheme="majorHAnsi" w:cstheme="majorHAnsi"/>
              </w:rPr>
              <w:t xml:space="preserve"> ties </w:t>
            </w:r>
            <w:r w:rsidR="00751926" w:rsidRPr="00D50C25">
              <w:rPr>
                <w:rFonts w:asciiTheme="majorHAnsi" w:hAnsiTheme="majorHAnsi" w:cstheme="majorHAnsi"/>
              </w:rPr>
              <w:t>the budget and performance to outcomes.</w:t>
            </w:r>
          </w:p>
          <w:p w14:paraId="32F031B3" w14:textId="77777777" w:rsidR="00BF5FCE" w:rsidRPr="00D50C25" w:rsidRDefault="00BF5FCE" w:rsidP="00BF5FCE">
            <w:pPr>
              <w:numPr>
                <w:ilvl w:val="0"/>
                <w:numId w:val="18"/>
              </w:numPr>
              <w:contextualSpacing/>
              <w:rPr>
                <w:rFonts w:asciiTheme="majorHAnsi" w:hAnsiTheme="majorHAnsi" w:cstheme="majorHAnsi"/>
              </w:rPr>
            </w:pPr>
            <w:r w:rsidRPr="00D50C25">
              <w:rPr>
                <w:rFonts w:asciiTheme="majorHAnsi" w:hAnsiTheme="majorHAnsi" w:cstheme="majorHAnsi"/>
              </w:rPr>
              <w:t>Provides financial and performance reports to staff, overseers and stakeholders.</w:t>
            </w:r>
          </w:p>
          <w:p w14:paraId="1D0A76E1" w14:textId="2734164B" w:rsidR="00BF5FCE" w:rsidRPr="00661EF3" w:rsidRDefault="00BF5FCE" w:rsidP="00751926">
            <w:pPr>
              <w:numPr>
                <w:ilvl w:val="0"/>
                <w:numId w:val="18"/>
              </w:numPr>
              <w:contextualSpacing/>
              <w:rPr>
                <w:rFonts w:asciiTheme="majorHAnsi" w:hAnsiTheme="majorHAnsi" w:cstheme="majorHAnsi"/>
              </w:rPr>
            </w:pPr>
            <w:r w:rsidRPr="00D50C25">
              <w:rPr>
                <w:rFonts w:asciiTheme="majorHAnsi" w:hAnsiTheme="majorHAnsi" w:cstheme="majorHAnsi"/>
              </w:rPr>
              <w:t>Takes the lead role in enterprise risk management.</w:t>
            </w:r>
          </w:p>
        </w:tc>
      </w:tr>
      <w:tr w:rsidR="00BF5FCE" w:rsidRPr="00D56177" w14:paraId="41DBB086" w14:textId="77777777" w:rsidTr="00643398">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1507BD2" w14:textId="77777777" w:rsidR="00BF5FCE" w:rsidRPr="00D56177" w:rsidRDefault="00BF5FCE" w:rsidP="00BF5FCE">
            <w:pPr>
              <w:rPr>
                <w:rFonts w:asciiTheme="majorHAnsi" w:hAnsiTheme="majorHAnsi" w:cstheme="majorHAnsi"/>
              </w:rPr>
            </w:pPr>
            <w:r w:rsidRPr="00D56177">
              <w:rPr>
                <w:rFonts w:asciiTheme="majorHAnsi" w:hAnsiTheme="majorHAnsi" w:cstheme="majorHAnsi"/>
              </w:rPr>
              <w:lastRenderedPageBreak/>
              <w:t>Strategic Goals and Priorities</w:t>
            </w:r>
          </w:p>
        </w:tc>
        <w:tc>
          <w:tcPr>
            <w:tcW w:w="6848" w:type="dxa"/>
            <w:tcBorders>
              <w:top w:val="single" w:sz="2" w:space="0" w:color="auto"/>
              <w:left w:val="single" w:sz="2" w:space="0" w:color="auto"/>
              <w:bottom w:val="single" w:sz="2" w:space="0" w:color="auto"/>
              <w:right w:val="single" w:sz="2" w:space="0" w:color="auto"/>
            </w:tcBorders>
            <w:vAlign w:val="center"/>
          </w:tcPr>
          <w:p w14:paraId="012D4C7B" w14:textId="2820122C" w:rsidR="00BF5FCE" w:rsidRPr="00D56177" w:rsidRDefault="0026436F" w:rsidP="003342DE">
            <w:pPr>
              <w:contextualSpacing/>
              <w:jc w:val="center"/>
              <w:rPr>
                <w:rFonts w:asciiTheme="majorHAnsi" w:hAnsiTheme="majorHAnsi" w:cstheme="majorHAnsi"/>
              </w:rPr>
            </w:pPr>
            <w:r>
              <w:rPr>
                <w:rFonts w:asciiTheme="majorHAnsi" w:hAnsiTheme="majorHAnsi" w:cstheme="majorBidi"/>
              </w:rPr>
              <w:t>[</w:t>
            </w:r>
            <w:r w:rsidR="00BF5FCE" w:rsidRPr="00AE4A16">
              <w:rPr>
                <w:rFonts w:asciiTheme="majorHAnsi" w:hAnsiTheme="majorHAnsi" w:cstheme="majorBidi"/>
              </w:rPr>
              <w:t>Depends on the policy priorities of the administration</w:t>
            </w:r>
            <w:r>
              <w:rPr>
                <w:rFonts w:asciiTheme="majorHAnsi" w:hAnsiTheme="majorHAnsi" w:cstheme="majorBidi"/>
              </w:rPr>
              <w:t>.]</w:t>
            </w:r>
          </w:p>
        </w:tc>
      </w:tr>
      <w:tr w:rsidR="006B6494" w:rsidRPr="00D56177" w14:paraId="0E48E36F" w14:textId="77777777" w:rsidTr="00643398">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40FD41B" w14:textId="77777777" w:rsidR="006B6494" w:rsidRPr="00D56177" w:rsidRDefault="006B6494" w:rsidP="00C0645F">
            <w:pPr>
              <w:jc w:val="center"/>
              <w:rPr>
                <w:rFonts w:asciiTheme="majorHAnsi" w:hAnsiTheme="majorHAnsi" w:cstheme="majorHAnsi"/>
                <w:b/>
              </w:rPr>
            </w:pPr>
            <w:r w:rsidRPr="00D56177">
              <w:rPr>
                <w:rFonts w:asciiTheme="majorHAnsi" w:hAnsiTheme="majorHAnsi" w:cstheme="majorHAnsi"/>
                <w:b/>
              </w:rPr>
              <w:t>REQUIREMENTS AND COMPETENCIES</w:t>
            </w:r>
          </w:p>
        </w:tc>
      </w:tr>
      <w:tr w:rsidR="00BF5FCE" w:rsidRPr="00D56177" w14:paraId="35C6208C" w14:textId="77777777" w:rsidTr="00643398">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D49C1B7" w14:textId="77777777" w:rsidR="00BF5FCE" w:rsidRPr="00D56177" w:rsidRDefault="00BF5FCE" w:rsidP="00BF5FCE">
            <w:pPr>
              <w:rPr>
                <w:rFonts w:asciiTheme="majorHAnsi" w:hAnsiTheme="majorHAnsi" w:cstheme="majorHAnsi"/>
              </w:rPr>
            </w:pPr>
            <w:r w:rsidRPr="00D56177">
              <w:rPr>
                <w:rFonts w:asciiTheme="majorHAnsi" w:hAnsiTheme="majorHAnsi" w:cstheme="majorHAnsi"/>
              </w:rPr>
              <w:t>Requirements</w:t>
            </w:r>
          </w:p>
        </w:tc>
        <w:tc>
          <w:tcPr>
            <w:tcW w:w="6848" w:type="dxa"/>
            <w:tcBorders>
              <w:top w:val="single" w:sz="2" w:space="0" w:color="auto"/>
              <w:left w:val="single" w:sz="2" w:space="0" w:color="auto"/>
              <w:bottom w:val="single" w:sz="2" w:space="0" w:color="auto"/>
              <w:right w:val="single" w:sz="2" w:space="0" w:color="auto"/>
            </w:tcBorders>
          </w:tcPr>
          <w:p w14:paraId="54F70AFB" w14:textId="05159E79" w:rsidR="00BF5FCE" w:rsidRPr="00D50C25" w:rsidRDefault="00BF5FCE" w:rsidP="00BF5FCE">
            <w:pPr>
              <w:numPr>
                <w:ilvl w:val="0"/>
                <w:numId w:val="24"/>
              </w:numPr>
              <w:ind w:left="432"/>
              <w:contextualSpacing/>
              <w:rPr>
                <w:rFonts w:asciiTheme="majorHAnsi" w:hAnsiTheme="majorHAnsi" w:cstheme="majorHAnsi"/>
              </w:rPr>
            </w:pPr>
            <w:r w:rsidRPr="00D50C25">
              <w:rPr>
                <w:rFonts w:asciiTheme="majorHAnsi" w:hAnsiTheme="majorHAnsi" w:cstheme="majorHAnsi"/>
              </w:rPr>
              <w:t>Strong background in federal financial management</w:t>
            </w:r>
            <w:r w:rsidR="00F6135A">
              <w:rPr>
                <w:rFonts w:asciiTheme="majorHAnsi" w:hAnsiTheme="majorHAnsi" w:cstheme="majorHAnsi"/>
              </w:rPr>
              <w:t>.</w:t>
            </w:r>
          </w:p>
          <w:p w14:paraId="246D216B" w14:textId="296D3AE9" w:rsidR="00BF5FCE" w:rsidRPr="00D50C25" w:rsidRDefault="00BF5FCE" w:rsidP="00BF5FCE">
            <w:pPr>
              <w:numPr>
                <w:ilvl w:val="0"/>
                <w:numId w:val="24"/>
              </w:numPr>
              <w:ind w:left="432"/>
              <w:contextualSpacing/>
              <w:rPr>
                <w:rFonts w:asciiTheme="majorHAnsi" w:hAnsiTheme="majorHAnsi" w:cstheme="majorHAnsi"/>
              </w:rPr>
            </w:pPr>
            <w:r w:rsidRPr="00D50C25">
              <w:rPr>
                <w:rFonts w:asciiTheme="majorHAnsi" w:hAnsiTheme="majorHAnsi" w:cstheme="majorHAnsi"/>
              </w:rPr>
              <w:t>Executive leadership experience</w:t>
            </w:r>
            <w:r w:rsidR="00F6135A">
              <w:rPr>
                <w:rFonts w:asciiTheme="majorHAnsi" w:hAnsiTheme="majorHAnsi" w:cstheme="majorHAnsi"/>
              </w:rPr>
              <w:t>.</w:t>
            </w:r>
          </w:p>
          <w:p w14:paraId="09A7BE5F" w14:textId="5E79C3E6" w:rsidR="00BF5FCE" w:rsidRPr="00D50C25" w:rsidRDefault="00BF5FCE" w:rsidP="00BF5FCE">
            <w:pPr>
              <w:numPr>
                <w:ilvl w:val="0"/>
                <w:numId w:val="24"/>
              </w:numPr>
              <w:ind w:left="432"/>
              <w:contextualSpacing/>
              <w:rPr>
                <w:rFonts w:asciiTheme="majorHAnsi" w:hAnsiTheme="majorHAnsi" w:cstheme="majorHAnsi"/>
              </w:rPr>
            </w:pPr>
            <w:r w:rsidRPr="00D50C25">
              <w:rPr>
                <w:rFonts w:asciiTheme="majorHAnsi" w:hAnsiTheme="majorHAnsi" w:cstheme="majorHAnsi"/>
              </w:rPr>
              <w:t>Experience working in a large organization</w:t>
            </w:r>
            <w:r w:rsidR="00F6135A">
              <w:rPr>
                <w:rFonts w:asciiTheme="majorHAnsi" w:hAnsiTheme="majorHAnsi" w:cstheme="majorHAnsi"/>
              </w:rPr>
              <w:t>.</w:t>
            </w:r>
          </w:p>
          <w:p w14:paraId="033EF458" w14:textId="086771F0" w:rsidR="00BF5FCE" w:rsidRPr="00D50C25" w:rsidRDefault="00BF5FCE" w:rsidP="00BF5FCE">
            <w:pPr>
              <w:numPr>
                <w:ilvl w:val="0"/>
                <w:numId w:val="24"/>
              </w:numPr>
              <w:ind w:left="432"/>
              <w:contextualSpacing/>
              <w:rPr>
                <w:rFonts w:asciiTheme="majorHAnsi" w:hAnsiTheme="majorHAnsi" w:cstheme="majorHAnsi"/>
              </w:rPr>
            </w:pPr>
            <w:r w:rsidRPr="00D50C25">
              <w:rPr>
                <w:rFonts w:asciiTheme="majorHAnsi" w:hAnsiTheme="majorHAnsi" w:cstheme="majorHAnsi"/>
              </w:rPr>
              <w:t>Experience in risk management</w:t>
            </w:r>
            <w:r w:rsidR="00F6135A">
              <w:rPr>
                <w:rFonts w:asciiTheme="majorHAnsi" w:hAnsiTheme="majorHAnsi" w:cstheme="majorHAnsi"/>
              </w:rPr>
              <w:t>.</w:t>
            </w:r>
          </w:p>
          <w:p w14:paraId="21307F6E" w14:textId="08C7B8CB" w:rsidR="00BF5FCE" w:rsidRPr="00D50C25" w:rsidRDefault="00BF5FCE" w:rsidP="00BF5FCE">
            <w:pPr>
              <w:numPr>
                <w:ilvl w:val="0"/>
                <w:numId w:val="24"/>
              </w:numPr>
              <w:ind w:left="432"/>
              <w:contextualSpacing/>
              <w:rPr>
                <w:rFonts w:asciiTheme="majorHAnsi" w:hAnsiTheme="majorHAnsi" w:cstheme="majorHAnsi"/>
              </w:rPr>
            </w:pPr>
            <w:r w:rsidRPr="00D50C25">
              <w:rPr>
                <w:rFonts w:asciiTheme="majorHAnsi" w:hAnsiTheme="majorHAnsi" w:cstheme="majorHAnsi"/>
              </w:rPr>
              <w:t>Knowledge of the department’s functions and policies</w:t>
            </w:r>
            <w:r w:rsidR="00F6135A">
              <w:rPr>
                <w:rFonts w:asciiTheme="majorHAnsi" w:hAnsiTheme="majorHAnsi" w:cstheme="majorHAnsi"/>
              </w:rPr>
              <w:t>.</w:t>
            </w:r>
          </w:p>
          <w:p w14:paraId="5C955FED" w14:textId="7108F439" w:rsidR="00BF5FCE" w:rsidRPr="00D50C25" w:rsidRDefault="00BF5FCE" w:rsidP="00BF5FCE">
            <w:pPr>
              <w:numPr>
                <w:ilvl w:val="0"/>
                <w:numId w:val="24"/>
              </w:numPr>
              <w:ind w:left="432"/>
              <w:contextualSpacing/>
              <w:rPr>
                <w:rFonts w:asciiTheme="majorHAnsi" w:hAnsiTheme="majorHAnsi" w:cstheme="majorHAnsi"/>
              </w:rPr>
            </w:pPr>
            <w:r w:rsidRPr="00D50C25">
              <w:rPr>
                <w:rFonts w:asciiTheme="majorHAnsi" w:hAnsiTheme="majorHAnsi" w:cstheme="majorHAnsi"/>
              </w:rPr>
              <w:t>Knowledge of federal budget formulation</w:t>
            </w:r>
            <w:r w:rsidR="00F6135A">
              <w:rPr>
                <w:rFonts w:asciiTheme="majorHAnsi" w:hAnsiTheme="majorHAnsi" w:cstheme="majorHAnsi"/>
              </w:rPr>
              <w:t>.</w:t>
            </w:r>
          </w:p>
          <w:p w14:paraId="698DE415" w14:textId="7F8E1C8C" w:rsidR="00BF5FCE" w:rsidRPr="00D50C25" w:rsidRDefault="00BF5FCE" w:rsidP="00BF5FCE">
            <w:pPr>
              <w:numPr>
                <w:ilvl w:val="0"/>
                <w:numId w:val="24"/>
              </w:numPr>
              <w:ind w:left="432"/>
              <w:contextualSpacing/>
              <w:rPr>
                <w:rFonts w:asciiTheme="majorHAnsi" w:hAnsiTheme="majorHAnsi" w:cstheme="majorHAnsi"/>
              </w:rPr>
            </w:pPr>
            <w:r w:rsidRPr="00D50C25">
              <w:rPr>
                <w:rFonts w:asciiTheme="majorHAnsi" w:hAnsiTheme="majorHAnsi" w:cstheme="majorHAnsi"/>
              </w:rPr>
              <w:t>Familiarity with cyber technology a plus</w:t>
            </w:r>
            <w:r w:rsidR="00F6135A">
              <w:rPr>
                <w:rFonts w:asciiTheme="majorHAnsi" w:hAnsiTheme="majorHAnsi" w:cstheme="majorHAnsi"/>
              </w:rPr>
              <w:t>.</w:t>
            </w:r>
          </w:p>
          <w:p w14:paraId="6FC36351" w14:textId="09EA3228" w:rsidR="00BF5FCE" w:rsidRPr="00971B01" w:rsidRDefault="00BF5FCE" w:rsidP="00BF5FCE">
            <w:pPr>
              <w:pStyle w:val="ListParagraph"/>
              <w:numPr>
                <w:ilvl w:val="0"/>
                <w:numId w:val="16"/>
              </w:numPr>
              <w:rPr>
                <w:rFonts w:asciiTheme="majorHAnsi" w:hAnsiTheme="majorHAnsi" w:cstheme="majorHAnsi"/>
              </w:rPr>
            </w:pPr>
            <w:r w:rsidRPr="00D50C25">
              <w:rPr>
                <w:rFonts w:asciiTheme="majorHAnsi" w:hAnsiTheme="majorHAnsi" w:cstheme="majorHAnsi"/>
              </w:rPr>
              <w:t>Background in data analytics a plus</w:t>
            </w:r>
            <w:r w:rsidR="00F6135A">
              <w:rPr>
                <w:rFonts w:asciiTheme="majorHAnsi" w:hAnsiTheme="majorHAnsi" w:cstheme="majorHAnsi"/>
              </w:rPr>
              <w:t>.</w:t>
            </w:r>
          </w:p>
        </w:tc>
      </w:tr>
      <w:tr w:rsidR="00BF5FCE" w:rsidRPr="00D56177" w14:paraId="008F2C68" w14:textId="77777777" w:rsidTr="00643398">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DB7A19" w14:textId="77777777" w:rsidR="00BF5FCE" w:rsidRPr="00D56177" w:rsidRDefault="00BF5FCE" w:rsidP="00BF5FCE">
            <w:pPr>
              <w:rPr>
                <w:rFonts w:asciiTheme="majorHAnsi" w:hAnsiTheme="majorHAnsi" w:cstheme="majorHAnsi"/>
              </w:rPr>
            </w:pPr>
            <w:r w:rsidRPr="00D56177">
              <w:rPr>
                <w:rFonts w:asciiTheme="majorHAnsi" w:hAnsiTheme="majorHAnsi" w:cstheme="majorHAnsi"/>
              </w:rPr>
              <w:t>Competencies</w:t>
            </w:r>
          </w:p>
        </w:tc>
        <w:tc>
          <w:tcPr>
            <w:tcW w:w="6848" w:type="dxa"/>
            <w:tcBorders>
              <w:top w:val="single" w:sz="2" w:space="0" w:color="auto"/>
              <w:left w:val="single" w:sz="2" w:space="0" w:color="auto"/>
              <w:bottom w:val="single" w:sz="2" w:space="0" w:color="auto"/>
              <w:right w:val="single" w:sz="2" w:space="0" w:color="auto"/>
            </w:tcBorders>
          </w:tcPr>
          <w:p w14:paraId="6E0348CD" w14:textId="7892CF6A" w:rsidR="00BF5FCE" w:rsidRPr="00D50C25" w:rsidRDefault="00BF5FCE" w:rsidP="00BF5FCE">
            <w:pPr>
              <w:numPr>
                <w:ilvl w:val="0"/>
                <w:numId w:val="24"/>
              </w:numPr>
              <w:ind w:left="432"/>
              <w:contextualSpacing/>
              <w:rPr>
                <w:rFonts w:asciiTheme="majorHAnsi" w:hAnsiTheme="majorHAnsi" w:cstheme="majorHAnsi"/>
              </w:rPr>
            </w:pPr>
            <w:r w:rsidRPr="00D50C25">
              <w:rPr>
                <w:rFonts w:asciiTheme="majorHAnsi" w:hAnsiTheme="majorHAnsi" w:cstheme="majorHAnsi"/>
              </w:rPr>
              <w:t>Ability to collaborate with the chief information officers, under/assistant secretaries for administration/management, as well as other CFOs and OMB via the CFO Council</w:t>
            </w:r>
            <w:r w:rsidR="00F6135A">
              <w:rPr>
                <w:rFonts w:asciiTheme="majorHAnsi" w:hAnsiTheme="majorHAnsi" w:cstheme="majorHAnsi"/>
              </w:rPr>
              <w:t>.</w:t>
            </w:r>
          </w:p>
          <w:p w14:paraId="0AA1E9B3" w14:textId="332C2020" w:rsidR="00BF5FCE" w:rsidRPr="007130D3" w:rsidRDefault="00BF5FCE" w:rsidP="00BF5FCE">
            <w:pPr>
              <w:pStyle w:val="ListParagraph"/>
              <w:numPr>
                <w:ilvl w:val="0"/>
                <w:numId w:val="14"/>
              </w:numPr>
              <w:ind w:left="432"/>
              <w:rPr>
                <w:rFonts w:asciiTheme="majorHAnsi" w:hAnsiTheme="majorHAnsi" w:cstheme="majorHAnsi"/>
                <w:bCs/>
              </w:rPr>
            </w:pPr>
            <w:r w:rsidRPr="00D50C25">
              <w:rPr>
                <w:rFonts w:asciiTheme="majorHAnsi" w:hAnsiTheme="majorHAnsi" w:cstheme="majorHAnsi"/>
              </w:rPr>
              <w:t>Knowledge of and relationships with Congress or ability to develop them</w:t>
            </w:r>
            <w:r w:rsidR="00F6135A">
              <w:rPr>
                <w:rFonts w:asciiTheme="majorHAnsi" w:hAnsiTheme="majorHAnsi" w:cstheme="majorHAnsi"/>
              </w:rPr>
              <w:t>.</w:t>
            </w:r>
          </w:p>
        </w:tc>
      </w:tr>
      <w:tr w:rsidR="006B6494" w:rsidRPr="00D56177" w14:paraId="1EE7E8DA" w14:textId="77777777" w:rsidTr="00643398">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FA743FD" w14:textId="77777777" w:rsidR="006B6494" w:rsidRPr="00D56177" w:rsidRDefault="006B6494" w:rsidP="00C0645F">
            <w:pPr>
              <w:jc w:val="center"/>
              <w:rPr>
                <w:rFonts w:asciiTheme="majorHAnsi" w:hAnsiTheme="majorHAnsi" w:cstheme="majorHAnsi"/>
                <w:b/>
              </w:rPr>
            </w:pPr>
            <w:r w:rsidRPr="00D56177">
              <w:rPr>
                <w:rFonts w:asciiTheme="majorHAnsi" w:hAnsiTheme="majorHAnsi" w:cstheme="majorHAnsi"/>
                <w:b/>
              </w:rPr>
              <w:t>PAST APPOINTEES</w:t>
            </w:r>
          </w:p>
        </w:tc>
      </w:tr>
      <w:tr w:rsidR="00BF5FCE" w:rsidRPr="00D56177" w14:paraId="499B0E97" w14:textId="77777777" w:rsidTr="00643398">
        <w:tc>
          <w:tcPr>
            <w:tcW w:w="9630" w:type="dxa"/>
            <w:gridSpan w:val="2"/>
            <w:tcBorders>
              <w:top w:val="single" w:sz="4" w:space="0" w:color="auto"/>
              <w:left w:val="single" w:sz="4" w:space="0" w:color="auto"/>
              <w:bottom w:val="single" w:sz="4" w:space="0" w:color="auto"/>
              <w:right w:val="single" w:sz="4" w:space="0" w:color="auto"/>
            </w:tcBorders>
          </w:tcPr>
          <w:p w14:paraId="41DCAB0E" w14:textId="720C6AA5" w:rsidR="00BF5FCE" w:rsidRDefault="00BF5FCE" w:rsidP="00BF5FCE">
            <w:pPr>
              <w:rPr>
                <w:rFonts w:asciiTheme="majorHAnsi" w:hAnsiTheme="majorHAnsi" w:cstheme="majorHAnsi"/>
              </w:rPr>
            </w:pPr>
            <w:r w:rsidRPr="00D50C25">
              <w:rPr>
                <w:rFonts w:asciiTheme="majorHAnsi" w:hAnsiTheme="majorHAnsi" w:cstheme="majorHAnsi"/>
              </w:rPr>
              <w:t xml:space="preserve">Jon Holladay (2014 to </w:t>
            </w:r>
            <w:r>
              <w:rPr>
                <w:rFonts w:asciiTheme="majorHAnsi" w:hAnsiTheme="majorHAnsi" w:cstheme="majorHAnsi"/>
              </w:rPr>
              <w:t>2017</w:t>
            </w:r>
            <w:r w:rsidRPr="00D50C25">
              <w:rPr>
                <w:rFonts w:asciiTheme="majorHAnsi" w:hAnsiTheme="majorHAnsi" w:cstheme="majorHAnsi"/>
              </w:rPr>
              <w:t xml:space="preserve">) – </w:t>
            </w:r>
            <w:r w:rsidR="00007E48">
              <w:rPr>
                <w:rFonts w:asciiTheme="majorHAnsi" w:hAnsiTheme="majorHAnsi" w:cstheme="majorHAnsi"/>
              </w:rPr>
              <w:t xml:space="preserve">Acting CFO at USDA; </w:t>
            </w:r>
            <w:r w:rsidRPr="00D50C25">
              <w:rPr>
                <w:rFonts w:asciiTheme="majorHAnsi" w:hAnsiTheme="majorHAnsi" w:cstheme="majorHAnsi"/>
              </w:rPr>
              <w:t>Deputy</w:t>
            </w:r>
            <w:r w:rsidR="00007E48">
              <w:rPr>
                <w:rFonts w:asciiTheme="majorHAnsi" w:hAnsiTheme="majorHAnsi" w:cstheme="majorHAnsi"/>
              </w:rPr>
              <w:t xml:space="preserve"> CFO</w:t>
            </w:r>
            <w:r w:rsidRPr="00D50C25">
              <w:rPr>
                <w:rFonts w:asciiTheme="majorHAnsi" w:hAnsiTheme="majorHAnsi" w:cstheme="majorHAnsi"/>
              </w:rPr>
              <w:t xml:space="preserve"> at USDA; Associate Chief Financial Officer for Financial Policy and Planning</w:t>
            </w:r>
            <w:r w:rsidR="00007E48">
              <w:rPr>
                <w:rFonts w:asciiTheme="majorHAnsi" w:hAnsiTheme="majorHAnsi" w:cstheme="majorHAnsi"/>
              </w:rPr>
              <w:t xml:space="preserve"> at USDA</w:t>
            </w:r>
          </w:p>
        </w:tc>
      </w:tr>
      <w:tr w:rsidR="00BF5FCE" w:rsidRPr="00D56177" w14:paraId="7268A0C1" w14:textId="77777777" w:rsidTr="00643398">
        <w:tc>
          <w:tcPr>
            <w:tcW w:w="9630" w:type="dxa"/>
            <w:gridSpan w:val="2"/>
            <w:tcBorders>
              <w:top w:val="single" w:sz="4" w:space="0" w:color="auto"/>
              <w:left w:val="single" w:sz="4" w:space="0" w:color="auto"/>
              <w:bottom w:val="single" w:sz="4" w:space="0" w:color="auto"/>
              <w:right w:val="single" w:sz="4" w:space="0" w:color="auto"/>
            </w:tcBorders>
          </w:tcPr>
          <w:p w14:paraId="5C8B988F" w14:textId="7865AA02" w:rsidR="00BF5FCE" w:rsidRDefault="00BF5FCE" w:rsidP="00BF5FCE">
            <w:pPr>
              <w:rPr>
                <w:rFonts w:asciiTheme="majorHAnsi" w:hAnsiTheme="majorHAnsi" w:cstheme="majorHAnsi"/>
              </w:rPr>
            </w:pPr>
            <w:r w:rsidRPr="00D50C25">
              <w:rPr>
                <w:rFonts w:asciiTheme="majorHAnsi" w:hAnsiTheme="majorHAnsi" w:cstheme="majorHAnsi"/>
              </w:rPr>
              <w:t xml:space="preserve">Evan J. Segal (2009) – </w:t>
            </w:r>
            <w:r w:rsidRPr="00D50C25">
              <w:rPr>
                <w:rFonts w:asciiTheme="majorHAnsi" w:eastAsia="Calibri" w:hAnsiTheme="majorHAnsi" w:cstheme="majorHAnsi"/>
                <w:bCs/>
              </w:rPr>
              <w:t xml:space="preserve">Executive </w:t>
            </w:r>
            <w:r w:rsidR="00561C26">
              <w:rPr>
                <w:rFonts w:asciiTheme="majorHAnsi" w:eastAsia="Calibri" w:hAnsiTheme="majorHAnsi" w:cstheme="majorHAnsi"/>
                <w:bCs/>
              </w:rPr>
              <w:t>in</w:t>
            </w:r>
            <w:r w:rsidRPr="00D50C25">
              <w:rPr>
                <w:rFonts w:asciiTheme="majorHAnsi" w:eastAsia="Calibri" w:hAnsiTheme="majorHAnsi" w:cstheme="majorHAnsi"/>
                <w:bCs/>
              </w:rPr>
              <w:t xml:space="preserve"> Residence</w:t>
            </w:r>
            <w:r w:rsidRPr="00D50C25">
              <w:rPr>
                <w:rFonts w:asciiTheme="majorHAnsi" w:hAnsiTheme="majorHAnsi" w:cstheme="majorHAnsi"/>
                <w:bCs/>
              </w:rPr>
              <w:t xml:space="preserve"> at </w:t>
            </w:r>
            <w:r w:rsidRPr="00D50C25">
              <w:rPr>
                <w:rFonts w:asciiTheme="majorHAnsi" w:eastAsia="Calibri" w:hAnsiTheme="majorHAnsi" w:cstheme="majorHAnsi"/>
              </w:rPr>
              <w:t>Carnegie Mellon Tepper School of Business</w:t>
            </w:r>
            <w:r w:rsidRPr="00D50C25">
              <w:rPr>
                <w:rFonts w:asciiTheme="majorHAnsi" w:hAnsiTheme="majorHAnsi" w:cstheme="majorHAnsi"/>
                <w:bCs/>
              </w:rPr>
              <w:t xml:space="preserve">; </w:t>
            </w:r>
            <w:r w:rsidRPr="00D50C25">
              <w:rPr>
                <w:rFonts w:asciiTheme="majorHAnsi" w:eastAsia="Calibri" w:hAnsiTheme="majorHAnsi" w:cstheme="majorHAnsi"/>
                <w:bCs/>
              </w:rPr>
              <w:t>Presiden</w:t>
            </w:r>
            <w:r w:rsidR="00561C26">
              <w:rPr>
                <w:rFonts w:asciiTheme="majorHAnsi" w:eastAsia="Calibri" w:hAnsiTheme="majorHAnsi" w:cstheme="majorHAnsi"/>
                <w:bCs/>
              </w:rPr>
              <w:t>t and Owner</w:t>
            </w:r>
            <w:r w:rsidRPr="00D50C25">
              <w:rPr>
                <w:rFonts w:asciiTheme="majorHAnsi" w:hAnsiTheme="majorHAnsi" w:cstheme="majorHAnsi"/>
                <w:bCs/>
              </w:rPr>
              <w:t xml:space="preserve"> of </w:t>
            </w:r>
            <w:r w:rsidRPr="00D50C25">
              <w:rPr>
                <w:rFonts w:asciiTheme="majorHAnsi" w:eastAsia="Calibri" w:hAnsiTheme="majorHAnsi" w:cstheme="majorHAnsi"/>
                <w:bCs/>
              </w:rPr>
              <w:t>Dormont Manufacturing Company</w:t>
            </w:r>
            <w:r w:rsidRPr="00D50C25">
              <w:rPr>
                <w:rFonts w:asciiTheme="majorHAnsi" w:hAnsiTheme="majorHAnsi" w:cstheme="majorHAnsi"/>
                <w:bCs/>
              </w:rPr>
              <w:t xml:space="preserve">; </w:t>
            </w:r>
            <w:r w:rsidRPr="00D50C25">
              <w:rPr>
                <w:rFonts w:asciiTheme="majorHAnsi" w:eastAsia="Calibri" w:hAnsiTheme="majorHAnsi" w:cstheme="majorHAnsi"/>
                <w:bCs/>
              </w:rPr>
              <w:t>Strategic Planning</w:t>
            </w:r>
            <w:r w:rsidR="00561C26">
              <w:rPr>
                <w:rFonts w:asciiTheme="majorHAnsi" w:eastAsia="Calibri" w:hAnsiTheme="majorHAnsi" w:cstheme="majorHAnsi"/>
                <w:bCs/>
              </w:rPr>
              <w:t xml:space="preserve"> and </w:t>
            </w:r>
            <w:r w:rsidRPr="00D50C25">
              <w:rPr>
                <w:rFonts w:asciiTheme="majorHAnsi" w:eastAsia="Calibri" w:hAnsiTheme="majorHAnsi" w:cstheme="majorHAnsi"/>
                <w:bCs/>
              </w:rPr>
              <w:t>Marketing</w:t>
            </w:r>
            <w:r w:rsidRPr="00D50C25">
              <w:rPr>
                <w:rFonts w:asciiTheme="majorHAnsi" w:hAnsiTheme="majorHAnsi" w:cstheme="majorHAnsi"/>
                <w:bCs/>
              </w:rPr>
              <w:t xml:space="preserve"> at </w:t>
            </w:r>
            <w:r w:rsidRPr="00D50C25">
              <w:rPr>
                <w:rFonts w:asciiTheme="majorHAnsi" w:eastAsia="Calibri" w:hAnsiTheme="majorHAnsi" w:cstheme="majorHAnsi"/>
                <w:bCs/>
              </w:rPr>
              <w:t>Scott Paper</w:t>
            </w:r>
          </w:p>
        </w:tc>
      </w:tr>
      <w:tr w:rsidR="00BF5FCE" w:rsidRPr="00D56177" w14:paraId="22F50485" w14:textId="77777777" w:rsidTr="00643398">
        <w:tc>
          <w:tcPr>
            <w:tcW w:w="9630" w:type="dxa"/>
            <w:gridSpan w:val="2"/>
            <w:tcBorders>
              <w:top w:val="single" w:sz="4" w:space="0" w:color="auto"/>
              <w:left w:val="single" w:sz="4" w:space="0" w:color="auto"/>
              <w:bottom w:val="single" w:sz="4" w:space="0" w:color="auto"/>
              <w:right w:val="single" w:sz="4" w:space="0" w:color="auto"/>
            </w:tcBorders>
          </w:tcPr>
          <w:p w14:paraId="32EC0127" w14:textId="7FF6B580" w:rsidR="00BF5FCE" w:rsidRDefault="00BF5FCE" w:rsidP="00BF5FCE">
            <w:pPr>
              <w:rPr>
                <w:rFonts w:asciiTheme="majorHAnsi" w:hAnsiTheme="majorHAnsi" w:cstheme="majorHAnsi"/>
              </w:rPr>
            </w:pPr>
            <w:r w:rsidRPr="00D50C25">
              <w:rPr>
                <w:rFonts w:asciiTheme="majorHAnsi" w:hAnsiTheme="majorHAnsi" w:cstheme="majorHAnsi"/>
              </w:rPr>
              <w:t>Charles R. Christopherson</w:t>
            </w:r>
            <w:r w:rsidR="00952D57">
              <w:rPr>
                <w:rFonts w:asciiTheme="majorHAnsi" w:hAnsiTheme="majorHAnsi" w:cstheme="majorHAnsi"/>
              </w:rPr>
              <w:t xml:space="preserve"> Jr.</w:t>
            </w:r>
            <w:r w:rsidRPr="00D50C25">
              <w:rPr>
                <w:rFonts w:asciiTheme="majorHAnsi" w:hAnsiTheme="majorHAnsi" w:cstheme="majorHAnsi"/>
              </w:rPr>
              <w:t xml:space="preserve"> (2007 to 2009) – </w:t>
            </w:r>
            <w:r w:rsidR="009215D0">
              <w:rPr>
                <w:rFonts w:asciiTheme="majorHAnsi" w:hAnsiTheme="majorHAnsi" w:cstheme="majorHAnsi"/>
              </w:rPr>
              <w:t xml:space="preserve">Chief Information Officer at USDA; </w:t>
            </w:r>
            <w:r w:rsidRPr="00D50C25">
              <w:rPr>
                <w:rFonts w:asciiTheme="majorHAnsi" w:eastAsia="Calibri" w:hAnsiTheme="majorHAnsi" w:cstheme="majorHAnsi"/>
                <w:bCs/>
              </w:rPr>
              <w:t xml:space="preserve">Group </w:t>
            </w:r>
            <w:r w:rsidR="00BD7D18">
              <w:rPr>
                <w:rFonts w:asciiTheme="majorHAnsi" w:eastAsia="Calibri" w:hAnsiTheme="majorHAnsi" w:cstheme="majorHAnsi"/>
                <w:bCs/>
              </w:rPr>
              <w:t>Vice President</w:t>
            </w:r>
            <w:r w:rsidRPr="00D50C25">
              <w:rPr>
                <w:rFonts w:asciiTheme="majorHAnsi" w:eastAsia="Calibri" w:hAnsiTheme="majorHAnsi" w:cstheme="majorHAnsi"/>
                <w:bCs/>
              </w:rPr>
              <w:t xml:space="preserve"> of Operations &amp; Finance</w:t>
            </w:r>
            <w:r w:rsidR="00BD7D18">
              <w:rPr>
                <w:rFonts w:asciiTheme="majorHAnsi" w:eastAsia="Calibri" w:hAnsiTheme="majorHAnsi" w:cstheme="majorHAnsi"/>
                <w:bCs/>
              </w:rPr>
              <w:t xml:space="preserve"> at </w:t>
            </w:r>
            <w:r w:rsidRPr="00D50C25">
              <w:rPr>
                <w:rFonts w:asciiTheme="majorHAnsi" w:eastAsia="Calibri" w:hAnsiTheme="majorHAnsi" w:cstheme="majorHAnsi"/>
              </w:rPr>
              <w:t>Encompass Services, Inc.</w:t>
            </w:r>
            <w:r w:rsidRPr="00D50C25">
              <w:rPr>
                <w:rFonts w:asciiTheme="majorHAnsi" w:hAnsiTheme="majorHAnsi" w:cstheme="majorHAnsi"/>
              </w:rPr>
              <w:t>;</w:t>
            </w:r>
            <w:r w:rsidRPr="00D50C25">
              <w:rPr>
                <w:rFonts w:asciiTheme="majorHAnsi" w:hAnsiTheme="majorHAnsi" w:cstheme="majorHAnsi"/>
                <w:bCs/>
              </w:rPr>
              <w:t xml:space="preserve"> </w:t>
            </w:r>
            <w:r w:rsidR="00BD7D18">
              <w:rPr>
                <w:rFonts w:asciiTheme="majorHAnsi" w:hAnsiTheme="majorHAnsi" w:cstheme="majorHAnsi"/>
                <w:bCs/>
              </w:rPr>
              <w:t xml:space="preserve">Chief Operating and Financial Officer </w:t>
            </w:r>
            <w:r w:rsidRPr="00D50C25">
              <w:rPr>
                <w:rFonts w:asciiTheme="majorHAnsi" w:hAnsiTheme="majorHAnsi" w:cstheme="majorHAnsi"/>
              </w:rPr>
              <w:t>at</w:t>
            </w:r>
            <w:r w:rsidRPr="00D50C25">
              <w:rPr>
                <w:rFonts w:asciiTheme="majorHAnsi" w:hAnsiTheme="majorHAnsi" w:cstheme="majorHAnsi"/>
                <w:bCs/>
              </w:rPr>
              <w:t xml:space="preserve"> </w:t>
            </w:r>
            <w:proofErr w:type="spellStart"/>
            <w:r w:rsidR="00BD7D18">
              <w:rPr>
                <w:rFonts w:asciiTheme="majorHAnsi" w:hAnsiTheme="majorHAnsi" w:cstheme="majorHAnsi"/>
                <w:bCs/>
              </w:rPr>
              <w:t>LANtech</w:t>
            </w:r>
            <w:proofErr w:type="spellEnd"/>
          </w:p>
        </w:tc>
      </w:tr>
      <w:bookmarkEnd w:id="0"/>
    </w:tbl>
    <w:p w14:paraId="078F894E" w14:textId="141A0372" w:rsidR="004222DB" w:rsidRPr="008E62BD" w:rsidRDefault="004222DB" w:rsidP="006B6494">
      <w:pPr>
        <w:rPr>
          <w:rFonts w:eastAsiaTheme="minorHAnsi"/>
        </w:rPr>
      </w:pPr>
    </w:p>
    <w:sectPr w:rsidR="004222DB" w:rsidRPr="008E62BD" w:rsidSect="002D6DB8">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720" w:footer="576"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5ED5" w14:textId="77777777" w:rsidR="004E2A99" w:rsidRDefault="004E2A99" w:rsidP="001E22F1">
      <w:r>
        <w:separator/>
      </w:r>
    </w:p>
  </w:endnote>
  <w:endnote w:type="continuationSeparator" w:id="0">
    <w:p w14:paraId="380376C9" w14:textId="77777777" w:rsidR="004E2A99" w:rsidRDefault="004E2A99" w:rsidP="001E22F1">
      <w:r>
        <w:continuationSeparator/>
      </w:r>
    </w:p>
  </w:endnote>
  <w:endnote w:id="1">
    <w:p w14:paraId="5BF25C9A" w14:textId="77777777" w:rsidR="00184E8D" w:rsidRDefault="00BF5FCE" w:rsidP="00184E8D">
      <w:pPr>
        <w:pStyle w:val="EndnoteText"/>
        <w:rPr>
          <w:rStyle w:val="normaltextrun"/>
          <w:color w:val="000000"/>
        </w:rPr>
      </w:pPr>
      <w:r>
        <w:rPr>
          <w:rStyle w:val="EndnoteReference"/>
        </w:rPr>
        <w:endnoteRef/>
      </w:r>
      <w:r>
        <w:t xml:space="preserve"> </w:t>
      </w:r>
      <w:r w:rsidR="00184E8D">
        <w:rPr>
          <w:rStyle w:val="normaltextrun"/>
          <w:color w:val="000000"/>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184E8D">
          <w:rPr>
            <w:rStyle w:val="normaltextrun"/>
            <w:color w:val="005789"/>
          </w:rPr>
          <w:t>here</w:t>
        </w:r>
      </w:hyperlink>
      <w:r w:rsidR="00184E8D">
        <w:rPr>
          <w:rStyle w:val="normaltextrun"/>
          <w:color w:val="000000"/>
        </w:rPr>
        <w:t>. If you are selected for this position, please consult the agency’s HR representative for further guidance on compensation.</w:t>
      </w:r>
    </w:p>
    <w:p w14:paraId="3159840A" w14:textId="433178C1" w:rsidR="008632E9" w:rsidRPr="008632E9" w:rsidRDefault="008632E9" w:rsidP="00184E8D">
      <w:pPr>
        <w:pStyle w:val="EndnoteText"/>
      </w:pPr>
      <w:r w:rsidRPr="008632E9">
        <w:rPr>
          <w:vertAlign w:val="superscript"/>
        </w:rPr>
        <w:t>iii</w:t>
      </w:r>
      <w:r w:rsidRPr="008632E9">
        <w:t xml:space="preserve"> </w:t>
      </w:r>
      <w:hyperlink r:id="rId2" w:history="1">
        <w:r w:rsidRPr="008632E9">
          <w:rPr>
            <w:rStyle w:val="Hyperlink"/>
          </w:rPr>
          <w:t>https://www.obpa.usda.gov/budsum/fy2020budsum.pdf</w:t>
        </w:r>
      </w:hyperlink>
    </w:p>
  </w:endnote>
  <w:endnote w:id="2">
    <w:p w14:paraId="1CCA9845" w14:textId="2D8F0979" w:rsidR="156FD3BA" w:rsidRDefault="156FD3BA" w:rsidP="000A4AE5">
      <w:pPr>
        <w:pStyle w:val="EndnoteText"/>
      </w:pPr>
      <w:r w:rsidRPr="156FD3BA">
        <w:rPr>
          <w:rStyle w:val="EndnoteReference"/>
        </w:rPr>
        <w:endnoteRef/>
      </w:r>
      <w:r>
        <w:t xml:space="preserve"> https://www.ocfo.usda.gov/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E1D" w14:textId="77777777" w:rsidR="00B72A3A" w:rsidRDefault="00B72A3A"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72A3A" w:rsidRDefault="00B72A3A"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283B" w14:textId="1F814835" w:rsidR="00D43B6D" w:rsidRPr="00BB5832" w:rsidRDefault="00BB5832" w:rsidP="00BB5832">
    <w:pPr>
      <w:pStyle w:val="Footer"/>
      <w:tabs>
        <w:tab w:val="clear" w:pos="4680"/>
      </w:tabs>
      <w:ind w:right="-216"/>
      <w:jc w:val="right"/>
      <w:rPr>
        <w:rStyle w:val="PageNumber"/>
        <w:sz w:val="16"/>
        <w:szCs w:val="14"/>
      </w:rPr>
    </w:pPr>
    <w:r w:rsidRPr="002531C5">
      <w:rPr>
        <w:rFonts w:ascii="Arial" w:hAnsi="Arial" w:cs="Arial"/>
        <w:sz w:val="16"/>
        <w:szCs w:val="14"/>
      </w:rPr>
      <w:t>presidentialtransition.org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6"/>
      <w:gridCol w:w="3216"/>
      <w:gridCol w:w="3216"/>
    </w:tblGrid>
    <w:tr w:rsidR="5699B74F" w14:paraId="4DBFEAF7" w14:textId="77777777" w:rsidTr="5699B74F">
      <w:tc>
        <w:tcPr>
          <w:tcW w:w="3216" w:type="dxa"/>
        </w:tcPr>
        <w:p w14:paraId="6386FAA4" w14:textId="070FA053" w:rsidR="5699B74F" w:rsidRDefault="5699B74F" w:rsidP="5699B74F">
          <w:pPr>
            <w:pStyle w:val="Header"/>
            <w:ind w:left="-115"/>
          </w:pPr>
        </w:p>
      </w:tc>
      <w:tc>
        <w:tcPr>
          <w:tcW w:w="3216" w:type="dxa"/>
        </w:tcPr>
        <w:p w14:paraId="4CFDEA1B" w14:textId="07AD5F1B" w:rsidR="5699B74F" w:rsidRDefault="5699B74F" w:rsidP="5699B74F">
          <w:pPr>
            <w:pStyle w:val="Header"/>
            <w:jc w:val="center"/>
          </w:pPr>
        </w:p>
      </w:tc>
      <w:tc>
        <w:tcPr>
          <w:tcW w:w="3216" w:type="dxa"/>
        </w:tcPr>
        <w:p w14:paraId="0B1EF54F" w14:textId="1BC50F77" w:rsidR="5699B74F" w:rsidRDefault="5699B74F" w:rsidP="5699B74F">
          <w:pPr>
            <w:pStyle w:val="Header"/>
            <w:ind w:right="-115"/>
            <w:jc w:val="right"/>
          </w:pPr>
        </w:p>
      </w:tc>
    </w:tr>
  </w:tbl>
  <w:p w14:paraId="5BB5D9D7" w14:textId="60EFBADC" w:rsidR="5699B74F" w:rsidRPr="00BB5832" w:rsidRDefault="00BB5832" w:rsidP="00BB5832">
    <w:pPr>
      <w:pStyle w:val="Footer"/>
      <w:tabs>
        <w:tab w:val="clear" w:pos="4680"/>
      </w:tabs>
      <w:ind w:right="-216"/>
      <w:jc w:val="right"/>
      <w:rPr>
        <w:sz w:val="16"/>
        <w:szCs w:val="14"/>
      </w:rPr>
    </w:pPr>
    <w:r>
      <w:tab/>
    </w:r>
    <w:r w:rsidRPr="002531C5">
      <w:rPr>
        <w:rFonts w:ascii="Arial" w:hAnsi="Arial" w:cs="Arial"/>
        <w:sz w:val="16"/>
        <w:szCs w:val="14"/>
      </w:rPr>
      <w:t>presidentialtransition.org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17FF" w14:textId="77777777" w:rsidR="004E2A99" w:rsidRDefault="004E2A99" w:rsidP="001E22F1">
      <w:r>
        <w:separator/>
      </w:r>
    </w:p>
  </w:footnote>
  <w:footnote w:type="continuationSeparator" w:id="0">
    <w:p w14:paraId="2688FE39" w14:textId="77777777" w:rsidR="004E2A99" w:rsidRDefault="004E2A99"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C7E" w14:textId="77777777" w:rsidR="00D43B6D" w:rsidRPr="00CA0F50" w:rsidRDefault="00184E8D" w:rsidP="00CA0F50">
    <w:pPr>
      <w:pStyle w:val="Header"/>
      <w:jc w:val="right"/>
    </w:pPr>
    <w:sdt>
      <w:sdtPr>
        <w:rPr>
          <w:rFonts w:ascii="Calibri" w:hAnsi="Calibri"/>
          <w:bCs/>
          <w:caps/>
          <w:sz w:val="18"/>
          <w:szCs w:val="24"/>
        </w:rPr>
        <w:alias w:val="Title"/>
        <w:id w:val="-1212265273"/>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D43B6D">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F0D5" w14:textId="1268AA1C" w:rsidR="00D43B6D" w:rsidRPr="00207063" w:rsidRDefault="00D43B6D" w:rsidP="004D7D44">
    <w:pPr>
      <w:pStyle w:val="Header"/>
      <w:tabs>
        <w:tab w:val="clear" w:pos="4680"/>
      </w:tabs>
      <w:rPr>
        <w:rFonts w:ascii="Arial" w:hAnsi="Arial" w:cs="Arial"/>
        <w:caps/>
        <w:sz w:val="16"/>
        <w:szCs w:val="16"/>
      </w:rPr>
    </w:pPr>
    <w:r>
      <w:rPr>
        <w:rFonts w:ascii="Arial" w:hAnsi="Arial" w:cs="Arial"/>
        <w:caps/>
        <w:sz w:val="16"/>
        <w:szCs w:val="16"/>
      </w:rPr>
      <w:tab/>
    </w:r>
    <w:r w:rsidR="002D6DB8">
      <w:rPr>
        <w:rFonts w:ascii="Arial" w:hAnsi="Arial" w:cs="Arial"/>
        <w:caps/>
        <w:sz w:val="16"/>
        <w:szCs w:val="16"/>
      </w:rPr>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38F8" w14:textId="1B6F8397" w:rsidR="00D43B6D" w:rsidRPr="00B72A3A" w:rsidRDefault="007D3E8A" w:rsidP="00666B54">
    <w:pPr>
      <w:pStyle w:val="Header"/>
      <w:tabs>
        <w:tab w:val="clear" w:pos="9360"/>
        <w:tab w:val="left" w:pos="2000"/>
        <w:tab w:val="right" w:pos="8820"/>
      </w:tabs>
      <w:ind w:left="-1350"/>
      <w:rPr>
        <w:rFonts w:ascii="Arial" w:hAnsi="Arial"/>
        <w:b/>
        <w:sz w:val="16"/>
        <w:szCs w:val="16"/>
      </w:rPr>
    </w:pPr>
    <w:r>
      <w:rPr>
        <w:noProof/>
      </w:rPr>
      <w:drawing>
        <wp:anchor distT="0" distB="0" distL="114300" distR="114300" simplePos="0" relativeHeight="251658240" behindDoc="0" locked="0" layoutInCell="1" allowOverlap="1" wp14:anchorId="23597591" wp14:editId="5D65E164">
          <wp:simplePos x="0" y="0"/>
          <wp:positionH relativeFrom="margin">
            <wp:posOffset>-274320</wp:posOffset>
          </wp:positionH>
          <wp:positionV relativeFrom="paragraph">
            <wp:posOffset>38100</wp:posOffset>
          </wp:positionV>
          <wp:extent cx="3720677" cy="416374"/>
          <wp:effectExtent l="0" t="0" r="0" b="3175"/>
          <wp:wrapThrough wrapText="bothSides">
            <wp:wrapPolygon edited="0">
              <wp:start x="1659" y="0"/>
              <wp:lineTo x="0" y="2968"/>
              <wp:lineTo x="0" y="20776"/>
              <wp:lineTo x="8406" y="20776"/>
              <wp:lineTo x="21456" y="20776"/>
              <wp:lineTo x="21456" y="11872"/>
              <wp:lineTo x="2323" y="0"/>
              <wp:lineTo x="1659" y="0"/>
            </wp:wrapPolygon>
          </wp:wrapThrough>
          <wp:docPr id="11015426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720677" cy="416374"/>
                  </a:xfrm>
                  <a:prstGeom prst="rect">
                    <a:avLst/>
                  </a:prstGeom>
                </pic:spPr>
              </pic:pic>
            </a:graphicData>
          </a:graphic>
        </wp:anchor>
      </w:drawing>
    </w:r>
    <w:r w:rsidR="00D43B6D">
      <w:t xml:space="preserve">   </w:t>
    </w:r>
    <w:r w:rsidR="00B72A3A">
      <w:tab/>
    </w:r>
    <w:r w:rsidR="00666B54">
      <w:tab/>
    </w:r>
    <w:r w:rsidR="00B72A3A">
      <w:tab/>
    </w:r>
  </w:p>
  <w:p w14:paraId="690F836B" w14:textId="4E57DABE" w:rsidR="00D43B6D" w:rsidRDefault="00D43B6D" w:rsidP="005D4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3D0"/>
    <w:multiLevelType w:val="hybridMultilevel"/>
    <w:tmpl w:val="950A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36623"/>
    <w:multiLevelType w:val="hybridMultilevel"/>
    <w:tmpl w:val="0E44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00965"/>
    <w:multiLevelType w:val="hybridMultilevel"/>
    <w:tmpl w:val="B106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A7C27"/>
    <w:multiLevelType w:val="hybridMultilevel"/>
    <w:tmpl w:val="AF58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62C80"/>
    <w:multiLevelType w:val="hybridMultilevel"/>
    <w:tmpl w:val="0A2206E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2" w15:restartNumberingAfterBreak="0">
    <w:nsid w:val="416F124A"/>
    <w:multiLevelType w:val="hybridMultilevel"/>
    <w:tmpl w:val="B60C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1570D8"/>
    <w:multiLevelType w:val="hybridMultilevel"/>
    <w:tmpl w:val="B63219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274CC"/>
    <w:multiLevelType w:val="hybridMultilevel"/>
    <w:tmpl w:val="3B1E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515EAD"/>
    <w:multiLevelType w:val="hybridMultilevel"/>
    <w:tmpl w:val="9DA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7"/>
  </w:num>
  <w:num w:numId="4">
    <w:abstractNumId w:val="23"/>
  </w:num>
  <w:num w:numId="5">
    <w:abstractNumId w:val="5"/>
  </w:num>
  <w:num w:numId="6">
    <w:abstractNumId w:val="19"/>
  </w:num>
  <w:num w:numId="7">
    <w:abstractNumId w:val="4"/>
  </w:num>
  <w:num w:numId="8">
    <w:abstractNumId w:val="16"/>
  </w:num>
  <w:num w:numId="9">
    <w:abstractNumId w:val="10"/>
  </w:num>
  <w:num w:numId="10">
    <w:abstractNumId w:val="0"/>
  </w:num>
  <w:num w:numId="11">
    <w:abstractNumId w:val="9"/>
  </w:num>
  <w:num w:numId="12">
    <w:abstractNumId w:val="6"/>
  </w:num>
  <w:num w:numId="13">
    <w:abstractNumId w:val="8"/>
  </w:num>
  <w:num w:numId="14">
    <w:abstractNumId w:val="12"/>
  </w:num>
  <w:num w:numId="15">
    <w:abstractNumId w:val="15"/>
  </w:num>
  <w:num w:numId="16">
    <w:abstractNumId w:val="11"/>
  </w:num>
  <w:num w:numId="17">
    <w:abstractNumId w:val="13"/>
  </w:num>
  <w:num w:numId="18">
    <w:abstractNumId w:val="1"/>
  </w:num>
  <w:num w:numId="19">
    <w:abstractNumId w:val="2"/>
  </w:num>
  <w:num w:numId="20">
    <w:abstractNumId w:val="18"/>
  </w:num>
  <w:num w:numId="21">
    <w:abstractNumId w:val="14"/>
  </w:num>
  <w:num w:numId="22">
    <w:abstractNumId w:val="22"/>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E48"/>
    <w:rsid w:val="000126AC"/>
    <w:rsid w:val="00016839"/>
    <w:rsid w:val="00017A44"/>
    <w:rsid w:val="00021B49"/>
    <w:rsid w:val="00023CFC"/>
    <w:rsid w:val="00034730"/>
    <w:rsid w:val="0004519C"/>
    <w:rsid w:val="0005161C"/>
    <w:rsid w:val="00055466"/>
    <w:rsid w:val="0006648F"/>
    <w:rsid w:val="00073701"/>
    <w:rsid w:val="0007480D"/>
    <w:rsid w:val="00076645"/>
    <w:rsid w:val="00080E76"/>
    <w:rsid w:val="0008706F"/>
    <w:rsid w:val="00087A28"/>
    <w:rsid w:val="000A0629"/>
    <w:rsid w:val="000A0E94"/>
    <w:rsid w:val="000A35C6"/>
    <w:rsid w:val="000A4AE5"/>
    <w:rsid w:val="000B0938"/>
    <w:rsid w:val="000B0F7D"/>
    <w:rsid w:val="000B3130"/>
    <w:rsid w:val="000B3BCB"/>
    <w:rsid w:val="000B5E2B"/>
    <w:rsid w:val="000D1780"/>
    <w:rsid w:val="000D2778"/>
    <w:rsid w:val="000E05E6"/>
    <w:rsid w:val="000E398B"/>
    <w:rsid w:val="000E399D"/>
    <w:rsid w:val="000F0F0A"/>
    <w:rsid w:val="000F2228"/>
    <w:rsid w:val="000F3659"/>
    <w:rsid w:val="000F3B5D"/>
    <w:rsid w:val="000F6976"/>
    <w:rsid w:val="000F69F1"/>
    <w:rsid w:val="00106C24"/>
    <w:rsid w:val="001150DF"/>
    <w:rsid w:val="00117030"/>
    <w:rsid w:val="0012306F"/>
    <w:rsid w:val="00126D52"/>
    <w:rsid w:val="0012723C"/>
    <w:rsid w:val="00127EB3"/>
    <w:rsid w:val="00130DFC"/>
    <w:rsid w:val="00134D8D"/>
    <w:rsid w:val="001352B0"/>
    <w:rsid w:val="00136A97"/>
    <w:rsid w:val="00137365"/>
    <w:rsid w:val="00160969"/>
    <w:rsid w:val="00160F21"/>
    <w:rsid w:val="001658B6"/>
    <w:rsid w:val="00171A70"/>
    <w:rsid w:val="00177526"/>
    <w:rsid w:val="0018425C"/>
    <w:rsid w:val="00184E8D"/>
    <w:rsid w:val="001A636E"/>
    <w:rsid w:val="001A665A"/>
    <w:rsid w:val="001B63A1"/>
    <w:rsid w:val="001C0B08"/>
    <w:rsid w:val="001C1577"/>
    <w:rsid w:val="001C2D85"/>
    <w:rsid w:val="001C39AC"/>
    <w:rsid w:val="001D0348"/>
    <w:rsid w:val="001D36AA"/>
    <w:rsid w:val="001E22F1"/>
    <w:rsid w:val="001E2508"/>
    <w:rsid w:val="001E486F"/>
    <w:rsid w:val="001E5266"/>
    <w:rsid w:val="001F4645"/>
    <w:rsid w:val="00205DE4"/>
    <w:rsid w:val="00207063"/>
    <w:rsid w:val="00220C28"/>
    <w:rsid w:val="0022173F"/>
    <w:rsid w:val="00221F98"/>
    <w:rsid w:val="00222732"/>
    <w:rsid w:val="00224E61"/>
    <w:rsid w:val="0023261D"/>
    <w:rsid w:val="002375DE"/>
    <w:rsid w:val="00246779"/>
    <w:rsid w:val="00262A1E"/>
    <w:rsid w:val="00262C31"/>
    <w:rsid w:val="002638DC"/>
    <w:rsid w:val="00263CE0"/>
    <w:rsid w:val="0026436F"/>
    <w:rsid w:val="002678E9"/>
    <w:rsid w:val="00276C8E"/>
    <w:rsid w:val="002817D7"/>
    <w:rsid w:val="00282909"/>
    <w:rsid w:val="00292D76"/>
    <w:rsid w:val="00297C2A"/>
    <w:rsid w:val="002A71CC"/>
    <w:rsid w:val="002B3AC4"/>
    <w:rsid w:val="002B44C0"/>
    <w:rsid w:val="002B59FC"/>
    <w:rsid w:val="002C76AB"/>
    <w:rsid w:val="002C7A86"/>
    <w:rsid w:val="002C7FA4"/>
    <w:rsid w:val="002D28DF"/>
    <w:rsid w:val="002D6DB8"/>
    <w:rsid w:val="002E0713"/>
    <w:rsid w:val="002E6824"/>
    <w:rsid w:val="002F2F32"/>
    <w:rsid w:val="0030474B"/>
    <w:rsid w:val="00321F38"/>
    <w:rsid w:val="00322291"/>
    <w:rsid w:val="00330ACB"/>
    <w:rsid w:val="003317A8"/>
    <w:rsid w:val="003342DE"/>
    <w:rsid w:val="003353C5"/>
    <w:rsid w:val="003454E5"/>
    <w:rsid w:val="00354173"/>
    <w:rsid w:val="003616AC"/>
    <w:rsid w:val="00361EC0"/>
    <w:rsid w:val="00366270"/>
    <w:rsid w:val="00370ED0"/>
    <w:rsid w:val="00375A18"/>
    <w:rsid w:val="00375C8C"/>
    <w:rsid w:val="00386024"/>
    <w:rsid w:val="003A0397"/>
    <w:rsid w:val="003A4DD4"/>
    <w:rsid w:val="003A6E33"/>
    <w:rsid w:val="003C3EF6"/>
    <w:rsid w:val="003C56E7"/>
    <w:rsid w:val="003D120B"/>
    <w:rsid w:val="003D4CCB"/>
    <w:rsid w:val="003D5759"/>
    <w:rsid w:val="003E45AC"/>
    <w:rsid w:val="00405D3E"/>
    <w:rsid w:val="00405E4F"/>
    <w:rsid w:val="00411497"/>
    <w:rsid w:val="00414F4B"/>
    <w:rsid w:val="004222DB"/>
    <w:rsid w:val="00422D9C"/>
    <w:rsid w:val="00424234"/>
    <w:rsid w:val="00435A07"/>
    <w:rsid w:val="00441ACF"/>
    <w:rsid w:val="0045383F"/>
    <w:rsid w:val="004618AB"/>
    <w:rsid w:val="00463F52"/>
    <w:rsid w:val="00467E18"/>
    <w:rsid w:val="00471BAA"/>
    <w:rsid w:val="00472A3C"/>
    <w:rsid w:val="00473034"/>
    <w:rsid w:val="0047481D"/>
    <w:rsid w:val="00476188"/>
    <w:rsid w:val="004846D3"/>
    <w:rsid w:val="004853B8"/>
    <w:rsid w:val="00490323"/>
    <w:rsid w:val="00491AD6"/>
    <w:rsid w:val="004967A1"/>
    <w:rsid w:val="004A5A1A"/>
    <w:rsid w:val="004B0A03"/>
    <w:rsid w:val="004B5D5B"/>
    <w:rsid w:val="004B7829"/>
    <w:rsid w:val="004C0F5B"/>
    <w:rsid w:val="004D37D9"/>
    <w:rsid w:val="004D3D04"/>
    <w:rsid w:val="004D6AA7"/>
    <w:rsid w:val="004D7D44"/>
    <w:rsid w:val="004E2A99"/>
    <w:rsid w:val="004E717F"/>
    <w:rsid w:val="004F21A0"/>
    <w:rsid w:val="004F4242"/>
    <w:rsid w:val="00500B8F"/>
    <w:rsid w:val="00521CF6"/>
    <w:rsid w:val="00526017"/>
    <w:rsid w:val="0053247E"/>
    <w:rsid w:val="00532BE2"/>
    <w:rsid w:val="005477A0"/>
    <w:rsid w:val="0055292D"/>
    <w:rsid w:val="00561C26"/>
    <w:rsid w:val="00562761"/>
    <w:rsid w:val="0056287D"/>
    <w:rsid w:val="00564475"/>
    <w:rsid w:val="005676B7"/>
    <w:rsid w:val="00572669"/>
    <w:rsid w:val="00574039"/>
    <w:rsid w:val="00577F0A"/>
    <w:rsid w:val="0058599E"/>
    <w:rsid w:val="005A3CAF"/>
    <w:rsid w:val="005B0C70"/>
    <w:rsid w:val="005B44AE"/>
    <w:rsid w:val="005D4099"/>
    <w:rsid w:val="005D5806"/>
    <w:rsid w:val="005E6E2F"/>
    <w:rsid w:val="005F2771"/>
    <w:rsid w:val="00602B9F"/>
    <w:rsid w:val="00603EFC"/>
    <w:rsid w:val="00622F39"/>
    <w:rsid w:val="0063039C"/>
    <w:rsid w:val="00635D16"/>
    <w:rsid w:val="00637430"/>
    <w:rsid w:val="00643398"/>
    <w:rsid w:val="00650906"/>
    <w:rsid w:val="00654DD9"/>
    <w:rsid w:val="00655EAB"/>
    <w:rsid w:val="00657445"/>
    <w:rsid w:val="00661AAC"/>
    <w:rsid w:val="00663758"/>
    <w:rsid w:val="00666B54"/>
    <w:rsid w:val="00670E3F"/>
    <w:rsid w:val="00683B6B"/>
    <w:rsid w:val="00687A9E"/>
    <w:rsid w:val="0069387A"/>
    <w:rsid w:val="006939E5"/>
    <w:rsid w:val="0069522D"/>
    <w:rsid w:val="006B0D7D"/>
    <w:rsid w:val="006B379A"/>
    <w:rsid w:val="006B6253"/>
    <w:rsid w:val="006B6494"/>
    <w:rsid w:val="006C14EE"/>
    <w:rsid w:val="006C2A1C"/>
    <w:rsid w:val="006E008A"/>
    <w:rsid w:val="006E1441"/>
    <w:rsid w:val="006E374B"/>
    <w:rsid w:val="007043CA"/>
    <w:rsid w:val="0072243C"/>
    <w:rsid w:val="007237FA"/>
    <w:rsid w:val="00732A91"/>
    <w:rsid w:val="00736EC8"/>
    <w:rsid w:val="00737980"/>
    <w:rsid w:val="00741D94"/>
    <w:rsid w:val="007467DF"/>
    <w:rsid w:val="00751926"/>
    <w:rsid w:val="00756A61"/>
    <w:rsid w:val="00762481"/>
    <w:rsid w:val="0076444F"/>
    <w:rsid w:val="007872BC"/>
    <w:rsid w:val="007A377A"/>
    <w:rsid w:val="007A4C90"/>
    <w:rsid w:val="007B1D32"/>
    <w:rsid w:val="007B6E3E"/>
    <w:rsid w:val="007C51EA"/>
    <w:rsid w:val="007D1AFF"/>
    <w:rsid w:val="007D3E8A"/>
    <w:rsid w:val="007D609D"/>
    <w:rsid w:val="007D669F"/>
    <w:rsid w:val="007E1950"/>
    <w:rsid w:val="007F0E84"/>
    <w:rsid w:val="007F17B1"/>
    <w:rsid w:val="007F321F"/>
    <w:rsid w:val="007F5A8E"/>
    <w:rsid w:val="007F6387"/>
    <w:rsid w:val="00806C5D"/>
    <w:rsid w:val="00820463"/>
    <w:rsid w:val="00821486"/>
    <w:rsid w:val="008271A8"/>
    <w:rsid w:val="00833527"/>
    <w:rsid w:val="00836810"/>
    <w:rsid w:val="00843FE7"/>
    <w:rsid w:val="00845BCF"/>
    <w:rsid w:val="0085653B"/>
    <w:rsid w:val="008566E1"/>
    <w:rsid w:val="008632E9"/>
    <w:rsid w:val="00867383"/>
    <w:rsid w:val="008744A6"/>
    <w:rsid w:val="0087689B"/>
    <w:rsid w:val="008807E6"/>
    <w:rsid w:val="00883BC8"/>
    <w:rsid w:val="0089745E"/>
    <w:rsid w:val="00897ABC"/>
    <w:rsid w:val="008A0F2F"/>
    <w:rsid w:val="008A7731"/>
    <w:rsid w:val="008B4CA7"/>
    <w:rsid w:val="008C5194"/>
    <w:rsid w:val="008C7470"/>
    <w:rsid w:val="008D30E6"/>
    <w:rsid w:val="008D3564"/>
    <w:rsid w:val="008E62BD"/>
    <w:rsid w:val="008F10EE"/>
    <w:rsid w:val="00901824"/>
    <w:rsid w:val="009140FD"/>
    <w:rsid w:val="009215D0"/>
    <w:rsid w:val="009241DC"/>
    <w:rsid w:val="00925AB6"/>
    <w:rsid w:val="00932702"/>
    <w:rsid w:val="0094517E"/>
    <w:rsid w:val="00952D57"/>
    <w:rsid w:val="0096330D"/>
    <w:rsid w:val="00970EB1"/>
    <w:rsid w:val="00971A5E"/>
    <w:rsid w:val="00977755"/>
    <w:rsid w:val="00977835"/>
    <w:rsid w:val="00981574"/>
    <w:rsid w:val="00981585"/>
    <w:rsid w:val="009B458C"/>
    <w:rsid w:val="009B5C03"/>
    <w:rsid w:val="009C2FED"/>
    <w:rsid w:val="009C7872"/>
    <w:rsid w:val="009D264E"/>
    <w:rsid w:val="009D3593"/>
    <w:rsid w:val="009E46C4"/>
    <w:rsid w:val="009E563E"/>
    <w:rsid w:val="009E586C"/>
    <w:rsid w:val="00A040BF"/>
    <w:rsid w:val="00A07E43"/>
    <w:rsid w:val="00A20D92"/>
    <w:rsid w:val="00A21FED"/>
    <w:rsid w:val="00A313E2"/>
    <w:rsid w:val="00A33BE1"/>
    <w:rsid w:val="00A37BD6"/>
    <w:rsid w:val="00A46A0C"/>
    <w:rsid w:val="00A54EF3"/>
    <w:rsid w:val="00A653B2"/>
    <w:rsid w:val="00A869D4"/>
    <w:rsid w:val="00A92C24"/>
    <w:rsid w:val="00A9589A"/>
    <w:rsid w:val="00AA2E6E"/>
    <w:rsid w:val="00AA39E1"/>
    <w:rsid w:val="00AB37A6"/>
    <w:rsid w:val="00AC65D8"/>
    <w:rsid w:val="00AD47DA"/>
    <w:rsid w:val="00AD7337"/>
    <w:rsid w:val="00AE28E2"/>
    <w:rsid w:val="00AE4A16"/>
    <w:rsid w:val="00AE78EC"/>
    <w:rsid w:val="00AF0FB2"/>
    <w:rsid w:val="00B015A0"/>
    <w:rsid w:val="00B037A9"/>
    <w:rsid w:val="00B03FED"/>
    <w:rsid w:val="00B05D99"/>
    <w:rsid w:val="00B0696B"/>
    <w:rsid w:val="00B15587"/>
    <w:rsid w:val="00B22E7C"/>
    <w:rsid w:val="00B3093B"/>
    <w:rsid w:val="00B33201"/>
    <w:rsid w:val="00B33603"/>
    <w:rsid w:val="00B400BE"/>
    <w:rsid w:val="00B609BD"/>
    <w:rsid w:val="00B66919"/>
    <w:rsid w:val="00B72A3A"/>
    <w:rsid w:val="00B761F1"/>
    <w:rsid w:val="00B85C44"/>
    <w:rsid w:val="00B8737B"/>
    <w:rsid w:val="00B957E6"/>
    <w:rsid w:val="00B97B34"/>
    <w:rsid w:val="00BA34BC"/>
    <w:rsid w:val="00BB5832"/>
    <w:rsid w:val="00BB6783"/>
    <w:rsid w:val="00BC1493"/>
    <w:rsid w:val="00BC78FF"/>
    <w:rsid w:val="00BD0F2B"/>
    <w:rsid w:val="00BD29EF"/>
    <w:rsid w:val="00BD4300"/>
    <w:rsid w:val="00BD7D18"/>
    <w:rsid w:val="00BE28D8"/>
    <w:rsid w:val="00BF2BCE"/>
    <w:rsid w:val="00BF5FCE"/>
    <w:rsid w:val="00C00762"/>
    <w:rsid w:val="00C05B41"/>
    <w:rsid w:val="00C068DB"/>
    <w:rsid w:val="00C07FF8"/>
    <w:rsid w:val="00C14F52"/>
    <w:rsid w:val="00C153DF"/>
    <w:rsid w:val="00C30408"/>
    <w:rsid w:val="00C335FE"/>
    <w:rsid w:val="00C3365A"/>
    <w:rsid w:val="00C36CC2"/>
    <w:rsid w:val="00C44A8F"/>
    <w:rsid w:val="00C46EEC"/>
    <w:rsid w:val="00C5538B"/>
    <w:rsid w:val="00C622A0"/>
    <w:rsid w:val="00C71212"/>
    <w:rsid w:val="00C82C06"/>
    <w:rsid w:val="00C866F7"/>
    <w:rsid w:val="00C87AFC"/>
    <w:rsid w:val="00C94E0B"/>
    <w:rsid w:val="00CA0F50"/>
    <w:rsid w:val="00CA6785"/>
    <w:rsid w:val="00CB1BE9"/>
    <w:rsid w:val="00CC2512"/>
    <w:rsid w:val="00CC416B"/>
    <w:rsid w:val="00CD14D0"/>
    <w:rsid w:val="00CD409E"/>
    <w:rsid w:val="00CE7299"/>
    <w:rsid w:val="00D00C94"/>
    <w:rsid w:val="00D05ABC"/>
    <w:rsid w:val="00D1037C"/>
    <w:rsid w:val="00D137F7"/>
    <w:rsid w:val="00D1473D"/>
    <w:rsid w:val="00D201D5"/>
    <w:rsid w:val="00D258E9"/>
    <w:rsid w:val="00D35718"/>
    <w:rsid w:val="00D40AC5"/>
    <w:rsid w:val="00D43B6D"/>
    <w:rsid w:val="00D606D2"/>
    <w:rsid w:val="00D60729"/>
    <w:rsid w:val="00D66F40"/>
    <w:rsid w:val="00D7198E"/>
    <w:rsid w:val="00D744FA"/>
    <w:rsid w:val="00D8185C"/>
    <w:rsid w:val="00D84176"/>
    <w:rsid w:val="00D8690A"/>
    <w:rsid w:val="00D96149"/>
    <w:rsid w:val="00DA36B9"/>
    <w:rsid w:val="00DA387D"/>
    <w:rsid w:val="00DA6CA7"/>
    <w:rsid w:val="00DB07EE"/>
    <w:rsid w:val="00DB7158"/>
    <w:rsid w:val="00DC0DCD"/>
    <w:rsid w:val="00DC4447"/>
    <w:rsid w:val="00DC4641"/>
    <w:rsid w:val="00DC65B3"/>
    <w:rsid w:val="00DD0C75"/>
    <w:rsid w:val="00DD6727"/>
    <w:rsid w:val="00DF1738"/>
    <w:rsid w:val="00DF48D3"/>
    <w:rsid w:val="00DF568B"/>
    <w:rsid w:val="00DF7A0C"/>
    <w:rsid w:val="00E052D5"/>
    <w:rsid w:val="00E072C0"/>
    <w:rsid w:val="00E07A3F"/>
    <w:rsid w:val="00E07EFB"/>
    <w:rsid w:val="00E2022A"/>
    <w:rsid w:val="00E21E3C"/>
    <w:rsid w:val="00E271FD"/>
    <w:rsid w:val="00E32003"/>
    <w:rsid w:val="00E40457"/>
    <w:rsid w:val="00E47F45"/>
    <w:rsid w:val="00E549CF"/>
    <w:rsid w:val="00E562D0"/>
    <w:rsid w:val="00E60CC0"/>
    <w:rsid w:val="00E62766"/>
    <w:rsid w:val="00E70863"/>
    <w:rsid w:val="00E71C0D"/>
    <w:rsid w:val="00E71E50"/>
    <w:rsid w:val="00E725B6"/>
    <w:rsid w:val="00E7353D"/>
    <w:rsid w:val="00E766C6"/>
    <w:rsid w:val="00E80B5C"/>
    <w:rsid w:val="00E828F9"/>
    <w:rsid w:val="00E90C00"/>
    <w:rsid w:val="00EB20A7"/>
    <w:rsid w:val="00EC2402"/>
    <w:rsid w:val="00EC429B"/>
    <w:rsid w:val="00EC4FDB"/>
    <w:rsid w:val="00ED52F5"/>
    <w:rsid w:val="00ED5B9E"/>
    <w:rsid w:val="00EF11FF"/>
    <w:rsid w:val="00EF6FAB"/>
    <w:rsid w:val="00F1221F"/>
    <w:rsid w:val="00F24186"/>
    <w:rsid w:val="00F24A4E"/>
    <w:rsid w:val="00F25BCA"/>
    <w:rsid w:val="00F436CE"/>
    <w:rsid w:val="00F51D84"/>
    <w:rsid w:val="00F6135A"/>
    <w:rsid w:val="00F62141"/>
    <w:rsid w:val="00F67CCF"/>
    <w:rsid w:val="00F71BC1"/>
    <w:rsid w:val="00F727AD"/>
    <w:rsid w:val="00F82D6A"/>
    <w:rsid w:val="00F82EF1"/>
    <w:rsid w:val="00F84D65"/>
    <w:rsid w:val="00F906D0"/>
    <w:rsid w:val="00F9394B"/>
    <w:rsid w:val="00FA4096"/>
    <w:rsid w:val="00FA58FD"/>
    <w:rsid w:val="00FB1139"/>
    <w:rsid w:val="00FB2965"/>
    <w:rsid w:val="00FC0DC5"/>
    <w:rsid w:val="00FC3EDE"/>
    <w:rsid w:val="00FC5334"/>
    <w:rsid w:val="03371225"/>
    <w:rsid w:val="0566F950"/>
    <w:rsid w:val="06B28C38"/>
    <w:rsid w:val="0B9EF2E7"/>
    <w:rsid w:val="0DA3CA28"/>
    <w:rsid w:val="10798747"/>
    <w:rsid w:val="156FD3BA"/>
    <w:rsid w:val="1C680B24"/>
    <w:rsid w:val="203B1EA2"/>
    <w:rsid w:val="2F6769A8"/>
    <w:rsid w:val="302D9A32"/>
    <w:rsid w:val="3771C1EA"/>
    <w:rsid w:val="3E6DFD3C"/>
    <w:rsid w:val="46D96319"/>
    <w:rsid w:val="4A204674"/>
    <w:rsid w:val="5699B74F"/>
    <w:rsid w:val="5B5B9A4D"/>
    <w:rsid w:val="6B7F4866"/>
    <w:rsid w:val="6EF95A9D"/>
    <w:rsid w:val="6F528C53"/>
    <w:rsid w:val="7A98A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597E8E"/>
  <w15:docId w15:val="{1508A6CF-A518-4A50-8F96-6EA33C67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821486"/>
    <w:pPr>
      <w:keepNext/>
      <w:keepLines/>
      <w:pBdr>
        <w:bottom w:val="single" w:sz="4" w:space="1" w:color="003055" w:themeColor="text1"/>
      </w:pBdr>
      <w:spacing w:before="480" w:after="120"/>
      <w:outlineLvl w:val="0"/>
    </w:pPr>
    <w:rPr>
      <w:rFonts w:ascii="Arial" w:eastAsiaTheme="majorEastAsia" w:hAnsi="Arial" w:cstheme="majorBidi"/>
      <w:b/>
      <w:bCs/>
      <w:caps/>
      <w:color w:val="003055" w:themeColor="text1"/>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nhideWhenUsed/>
    <w:rsid w:val="0094517E"/>
    <w:rPr>
      <w:sz w:val="16"/>
      <w:szCs w:val="16"/>
    </w:rPr>
  </w:style>
  <w:style w:type="paragraph" w:styleId="CommentText">
    <w:name w:val="annotation text"/>
    <w:basedOn w:val="Normal"/>
    <w:link w:val="CommentTextChar"/>
    <w:unhideWhenUsed/>
    <w:rsid w:val="0094517E"/>
    <w:rPr>
      <w:sz w:val="20"/>
      <w:szCs w:val="20"/>
    </w:rPr>
  </w:style>
  <w:style w:type="character" w:customStyle="1" w:styleId="CommentTextChar">
    <w:name w:val="Comment Text Char"/>
    <w:basedOn w:val="DefaultParagraphFont"/>
    <w:link w:val="CommentText"/>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821486"/>
    <w:rPr>
      <w:rFonts w:ascii="Arial" w:eastAsiaTheme="majorEastAsia" w:hAnsi="Arial" w:cstheme="majorBidi"/>
      <w:b/>
      <w:bCs/>
      <w:caps/>
      <w:color w:val="003055" w:themeColor="text1"/>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EndnoteText">
    <w:name w:val="endnote text"/>
    <w:basedOn w:val="Normal"/>
    <w:link w:val="EndnoteTextChar"/>
    <w:uiPriority w:val="99"/>
    <w:unhideWhenUsed/>
    <w:rsid w:val="002D6DB8"/>
    <w:rPr>
      <w:sz w:val="20"/>
      <w:szCs w:val="20"/>
    </w:rPr>
  </w:style>
  <w:style w:type="character" w:customStyle="1" w:styleId="EndnoteTextChar">
    <w:name w:val="Endnote Text Char"/>
    <w:basedOn w:val="DefaultParagraphFont"/>
    <w:link w:val="EndnoteText"/>
    <w:uiPriority w:val="99"/>
    <w:rsid w:val="002D6DB8"/>
    <w:rPr>
      <w:sz w:val="20"/>
      <w:szCs w:val="20"/>
    </w:rPr>
  </w:style>
  <w:style w:type="character" w:styleId="EndnoteReference">
    <w:name w:val="endnote reference"/>
    <w:basedOn w:val="DefaultParagraphFont"/>
    <w:uiPriority w:val="99"/>
    <w:semiHidden/>
    <w:unhideWhenUsed/>
    <w:rsid w:val="002D6DB8"/>
    <w:rPr>
      <w:vertAlign w:val="superscript"/>
    </w:rPr>
  </w:style>
  <w:style w:type="character" w:customStyle="1" w:styleId="normaltextrun">
    <w:name w:val="normaltextrun"/>
    <w:basedOn w:val="DefaultParagraphFont"/>
    <w:rsid w:val="0018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017579671">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obpa.usda.gov/budsum/fy2020budsum.pdf" TargetMode="External"/><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1C76A9"/>
    <w:rsid w:val="00215E5E"/>
    <w:rsid w:val="0025539F"/>
    <w:rsid w:val="005B3992"/>
    <w:rsid w:val="005E3561"/>
    <w:rsid w:val="00672DF4"/>
    <w:rsid w:val="007B6B73"/>
    <w:rsid w:val="008638AA"/>
    <w:rsid w:val="0087154F"/>
    <w:rsid w:val="008803F8"/>
    <w:rsid w:val="008F1F7B"/>
    <w:rsid w:val="008F5F77"/>
    <w:rsid w:val="0099374C"/>
    <w:rsid w:val="00A9166C"/>
    <w:rsid w:val="00AC054C"/>
    <w:rsid w:val="00B17B74"/>
    <w:rsid w:val="00B2188B"/>
    <w:rsid w:val="00BE0041"/>
    <w:rsid w:val="00C36CDA"/>
    <w:rsid w:val="00CA6553"/>
    <w:rsid w:val="00CE169A"/>
    <w:rsid w:val="00D262DD"/>
    <w:rsid w:val="00D4302A"/>
    <w:rsid w:val="00DB07EE"/>
    <w:rsid w:val="00E77759"/>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17E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D22AC-8D6C-C840-B935-D8C07320CE9E}">
  <ds:schemaRefs>
    <ds:schemaRef ds:uri="http://schemas.openxmlformats.org/officeDocument/2006/bibliography"/>
  </ds:schemaRefs>
</ds:datastoreItem>
</file>

<file path=customXml/itemProps2.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54e98812-b12a-4504-b572-6fcfe8934f27"/>
    <ds:schemaRef ds:uri="b768acbd-dc7f-4a24-9e54-842e75727939"/>
    <ds:schemaRef ds:uri="http://purl.org/dc/dcmitype/"/>
  </ds:schemaRefs>
</ds:datastoreItem>
</file>

<file path=customXml/itemProps3.xml><?xml version="1.0" encoding="utf-8"?>
<ds:datastoreItem xmlns:ds="http://schemas.openxmlformats.org/officeDocument/2006/customXml" ds:itemID="{917C0B70-AC3C-4CDE-8705-D14A99FAB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9089F-841C-4977-A267-76252DC3B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Jaqlyn Alderete</cp:lastModifiedBy>
  <cp:revision>53</cp:revision>
  <cp:lastPrinted>2012-06-26T22:15:00Z</cp:lastPrinted>
  <dcterms:created xsi:type="dcterms:W3CDTF">2020-04-27T16:37:00Z</dcterms:created>
  <dcterms:modified xsi:type="dcterms:W3CDTF">2021-05-03T20:13:00Z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