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2E" w:rsidRPr="00B9292E" w:rsidRDefault="00B9292E" w:rsidP="00B9292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480" w:after="0" w:line="240" w:lineRule="auto"/>
        <w:outlineLvl w:val="0"/>
        <w:rPr>
          <w:rFonts w:ascii="Arial" w:eastAsia="MS Gothic" w:hAnsi="Arial" w:cs="Arial"/>
          <w:bCs/>
          <w:caps/>
          <w:sz w:val="20"/>
        </w:rPr>
      </w:pPr>
      <w:bookmarkStart w:id="0" w:name="_Toc143586611"/>
      <w:r w:rsidRPr="00B9292E">
        <w:rPr>
          <w:rFonts w:ascii="Arial" w:eastAsia="MS Gothic" w:hAnsi="Arial" w:cs="Arial"/>
          <w:bCs/>
          <w:caps/>
          <w:sz w:val="20"/>
        </w:rPr>
        <w:t>POSITION DESCRIPTION</w:t>
      </w:r>
    </w:p>
    <w:p w:rsidR="00B9292E" w:rsidRPr="00B9292E" w:rsidRDefault="00B9292E" w:rsidP="00B9292E">
      <w:pPr>
        <w:keepNext/>
        <w:keepLines/>
        <w:pBdr>
          <w:bottom w:val="single" w:sz="4" w:space="1" w:color="003055"/>
        </w:pBdr>
        <w:tabs>
          <w:tab w:val="left" w:pos="4016"/>
        </w:tabs>
        <w:spacing w:before="120" w:after="120" w:line="240" w:lineRule="auto"/>
        <w:outlineLvl w:val="0"/>
        <w:rPr>
          <w:rFonts w:ascii="Arial" w:eastAsia="MS Gothic" w:hAnsi="Arial" w:cs="Arial"/>
          <w:b/>
          <w:bCs/>
          <w:caps/>
          <w:sz w:val="26"/>
          <w:szCs w:val="26"/>
        </w:rPr>
      </w:pP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assistant secretary for south </w:t>
      </w:r>
      <w:r w:rsidR="00A23E50">
        <w:rPr>
          <w:rFonts w:ascii="Arial" w:eastAsia="MS Gothic" w:hAnsi="Arial" w:cs="Arial"/>
          <w:b/>
          <w:bCs/>
          <w:caps/>
          <w:sz w:val="26"/>
          <w:szCs w:val="26"/>
        </w:rPr>
        <w:t xml:space="preserve">and central 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>asian affairs</w:t>
      </w:r>
      <w:r w:rsidRPr="00B9292E">
        <w:rPr>
          <w:rFonts w:ascii="Arial" w:eastAsia="MS Gothic" w:hAnsi="Arial" w:cs="Arial"/>
          <w:b/>
          <w:bCs/>
          <w:caps/>
          <w:sz w:val="26"/>
          <w:szCs w:val="26"/>
        </w:rPr>
        <w:t>, Department</w:t>
      </w:r>
      <w:r>
        <w:rPr>
          <w:rFonts w:ascii="Arial" w:eastAsia="MS Gothic" w:hAnsi="Arial" w:cs="Arial"/>
          <w:b/>
          <w:bCs/>
          <w:caps/>
          <w:sz w:val="26"/>
          <w:szCs w:val="26"/>
        </w:rPr>
        <w:t xml:space="preserve"> of state</w:t>
      </w:r>
    </w:p>
    <w:p w:rsidR="00B9292E" w:rsidRPr="00B9292E" w:rsidRDefault="00B9292E" w:rsidP="00B9292E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9292E" w:rsidRPr="00F2625C" w:rsidTr="00B9292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B9292E" w:rsidRPr="00F2625C" w:rsidRDefault="00B9292E" w:rsidP="00B929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25C">
              <w:rPr>
                <w:rFonts w:ascii="Arial" w:hAnsi="Arial" w:cs="Arial"/>
                <w:b/>
                <w:sz w:val="22"/>
                <w:szCs w:val="22"/>
              </w:rPr>
              <w:t>OVERVIEW</w:t>
            </w:r>
          </w:p>
        </w:tc>
      </w:tr>
      <w:tr w:rsidR="00B9292E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B9292E" w:rsidRPr="00F2625C" w:rsidRDefault="00B9292E" w:rsidP="00B9292E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Senate 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292E" w:rsidRPr="00F2625C" w:rsidRDefault="00A23E50" w:rsidP="00B9292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25C">
              <w:rPr>
                <w:rFonts w:ascii="Arial" w:hAnsi="Arial" w:cs="Arial"/>
                <w:bCs/>
                <w:sz w:val="22"/>
                <w:szCs w:val="22"/>
              </w:rPr>
              <w:t>Foreign Relations</w:t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The Department of State is the lead institution for the conduct of American diplomacy, and the secretary is the president’s principal foreign policy advisor.</w:t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ED2" w:rsidRPr="00F2625C" w:rsidRDefault="009B5ED2" w:rsidP="008D541A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 xml:space="preserve">The assistant secretary for </w:t>
            </w:r>
            <w:r w:rsidR="007877FE" w:rsidRPr="00F2625C">
              <w:rPr>
                <w:rFonts w:ascii="Arial" w:hAnsi="Arial" w:cs="Arial"/>
                <w:sz w:val="22"/>
                <w:szCs w:val="22"/>
              </w:rPr>
              <w:t xml:space="preserve">South 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7877FE" w:rsidRPr="00F2625C">
              <w:rPr>
                <w:rFonts w:ascii="Arial" w:hAnsi="Arial" w:cs="Arial"/>
                <w:sz w:val="22"/>
                <w:szCs w:val="22"/>
              </w:rPr>
              <w:t xml:space="preserve">Central Asian 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affairs provides guidance to U.S. diplomatic missions in the region and handles foreign policy and diplomatic relations with the </w:t>
            </w:r>
            <w:r w:rsidR="008D541A">
              <w:rPr>
                <w:rFonts w:ascii="Arial" w:hAnsi="Arial" w:cs="Arial"/>
                <w:sz w:val="22"/>
                <w:szCs w:val="22"/>
              </w:rPr>
              <w:t xml:space="preserve">following </w:t>
            </w:r>
            <w:r w:rsidRPr="00F2625C">
              <w:rPr>
                <w:rFonts w:ascii="Arial" w:hAnsi="Arial" w:cs="Arial"/>
                <w:sz w:val="22"/>
                <w:szCs w:val="22"/>
              </w:rPr>
              <w:t>countries and geographic entities: Afghanistan, Bangladesh, Bhutan, India, Kyrgyzstan, Kazakhstan, Maldives, Nepal, Pakistan, Sri Lanka, Tajikistan, Turkmenistan and Uzbekistan.</w:t>
            </w:r>
            <w:r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E675E9" w:rsidP="00164FF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25C">
              <w:rPr>
                <w:rFonts w:ascii="Arial" w:hAnsi="Arial" w:cs="Arial"/>
                <w:bCs/>
                <w:sz w:val="22"/>
                <w:szCs w:val="22"/>
              </w:rPr>
              <w:t>Level IV $</w:t>
            </w:r>
            <w:r w:rsidR="00164FF5">
              <w:rPr>
                <w:rFonts w:ascii="Arial" w:hAnsi="Arial" w:cs="Arial"/>
                <w:bCs/>
                <w:sz w:val="22"/>
                <w:szCs w:val="22"/>
              </w:rPr>
              <w:t>155,500</w:t>
            </w:r>
            <w:r w:rsidR="00A23E50" w:rsidRPr="00F2625C">
              <w:rPr>
                <w:rFonts w:ascii="Arial" w:hAnsi="Arial" w:cs="Arial"/>
                <w:bCs/>
                <w:sz w:val="22"/>
                <w:szCs w:val="22"/>
              </w:rPr>
              <w:t xml:space="preserve"> (5 U.S.C. § 5315)</w:t>
            </w:r>
            <w:r w:rsidR="00F2625C" w:rsidRPr="00F2625C"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2"/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Undersecretary for Political Affairs</w:t>
            </w:r>
            <w:r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3"/>
            </w:r>
          </w:p>
        </w:tc>
      </w:tr>
      <w:tr w:rsidR="00A23E50" w:rsidRPr="00F2625C" w:rsidTr="00B9292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23E50" w:rsidRPr="00F2625C" w:rsidRDefault="00A23E50" w:rsidP="00A23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25C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5ED2" w:rsidRPr="00F2625C" w:rsidRDefault="009B5ED2" w:rsidP="007877FE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F262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In fiscal </w:t>
            </w:r>
            <w:r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2015, the </w:t>
            </w:r>
            <w:r w:rsidR="00F2625C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Bureau </w:t>
            </w:r>
            <w:r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for </w:t>
            </w:r>
            <w:r w:rsidR="007877FE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South </w:t>
            </w:r>
            <w:r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7877FE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Central Asian </w:t>
            </w:r>
            <w:r w:rsidR="00F2625C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Affairs </w:t>
            </w:r>
            <w:r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had a </w:t>
            </w:r>
            <w:r w:rsidRPr="00F2625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budget</w:t>
            </w:r>
            <w:r w:rsidR="007877FE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 of $65.174 million.</w:t>
            </w:r>
            <w:r w:rsidR="007877FE" w:rsidRPr="00F2625C">
              <w:rPr>
                <w:rStyle w:val="EndnoteReference"/>
                <w:rFonts w:ascii="Arial" w:hAnsi="Arial" w:cs="Arial"/>
                <w:color w:val="000000"/>
                <w:sz w:val="22"/>
                <w:szCs w:val="22"/>
              </w:rPr>
              <w:endnoteReference w:id="4"/>
            </w:r>
            <w:r w:rsidR="007877FE" w:rsidRPr="00F2625C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 w:rsidRPr="00F2625C">
              <w:rPr>
                <w:rFonts w:ascii="Arial" w:hAnsi="Arial" w:cs="Arial"/>
                <w:color w:val="000000"/>
                <w:sz w:val="22"/>
                <w:szCs w:val="22"/>
              </w:rPr>
              <w:t>assistant secretary oversees the principal deputy assistant secretary and three deputy assistant secretaries.</w:t>
            </w:r>
            <w:r w:rsidRPr="00F2625C">
              <w:rPr>
                <w:rStyle w:val="EndnoteReference"/>
                <w:rFonts w:ascii="Arial" w:hAnsi="Arial" w:cs="Arial"/>
                <w:color w:val="000000"/>
                <w:sz w:val="22"/>
                <w:szCs w:val="22"/>
              </w:rPr>
              <w:endnoteReference w:id="5"/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9B5ED2" w:rsidP="009B5ED2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 xml:space="preserve">Manages the Bureau of South and Central Asian Affairs </w:t>
            </w:r>
          </w:p>
          <w:p w:rsidR="009B5ED2" w:rsidRPr="002B6321" w:rsidRDefault="009B5ED2" w:rsidP="009B5ED2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S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>erves a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s the principal advisor to the secretary of state and the </w:t>
            </w:r>
            <w:r w:rsidRPr="002B6321">
              <w:rPr>
                <w:rFonts w:ascii="Arial" w:hAnsi="Arial" w:cs="Arial"/>
                <w:sz w:val="22"/>
                <w:szCs w:val="22"/>
              </w:rPr>
              <w:t>deputy s</w:t>
            </w:r>
            <w:r w:rsidR="00A23E50" w:rsidRPr="002B6321">
              <w:rPr>
                <w:rFonts w:ascii="Arial" w:hAnsi="Arial" w:cs="Arial"/>
                <w:sz w:val="22"/>
                <w:szCs w:val="22"/>
              </w:rPr>
              <w:t xml:space="preserve">ecretaries </w:t>
            </w:r>
          </w:p>
          <w:p w:rsidR="009B5ED2" w:rsidRPr="002B6321" w:rsidRDefault="009B5ED2">
            <w:pPr>
              <w:pStyle w:val="ListParagraph"/>
              <w:numPr>
                <w:ilvl w:val="1"/>
                <w:numId w:val="1"/>
              </w:numPr>
              <w:ind w:left="433" w:hanging="197"/>
              <w:rPr>
                <w:rFonts w:ascii="Arial" w:hAnsi="Arial" w:cs="Arial"/>
                <w:sz w:val="22"/>
                <w:szCs w:val="22"/>
              </w:rPr>
            </w:pPr>
            <w:r w:rsidRPr="002B6321">
              <w:rPr>
                <w:rFonts w:ascii="Arial" w:hAnsi="Arial" w:cs="Arial"/>
                <w:sz w:val="22"/>
                <w:szCs w:val="22"/>
              </w:rPr>
              <w:t>Is responsible</w:t>
            </w:r>
            <w:r w:rsidR="00A23E50" w:rsidRPr="002B6321">
              <w:rPr>
                <w:rFonts w:ascii="Arial" w:hAnsi="Arial" w:cs="Arial"/>
                <w:sz w:val="22"/>
                <w:szCs w:val="22"/>
              </w:rPr>
              <w:t xml:space="preserve"> for the general conduct of U.S. foreign relations with countrie</w:t>
            </w:r>
            <w:r w:rsidRPr="002B6321">
              <w:rPr>
                <w:rFonts w:ascii="Arial" w:hAnsi="Arial" w:cs="Arial"/>
                <w:sz w:val="22"/>
                <w:szCs w:val="22"/>
              </w:rPr>
              <w:t xml:space="preserve">s in this </w:t>
            </w:r>
            <w:r w:rsidR="007877FE" w:rsidRPr="002B6321">
              <w:rPr>
                <w:rFonts w:ascii="Arial" w:hAnsi="Arial" w:cs="Arial"/>
                <w:sz w:val="22"/>
                <w:szCs w:val="22"/>
              </w:rPr>
              <w:t>geographical division. R</w:t>
            </w:r>
            <w:r w:rsidR="00A23E50" w:rsidRPr="002B6321">
              <w:rPr>
                <w:rFonts w:ascii="Arial" w:hAnsi="Arial" w:cs="Arial"/>
                <w:sz w:val="22"/>
                <w:szCs w:val="22"/>
              </w:rPr>
              <w:t>egional policy issues include</w:t>
            </w:r>
            <w:r w:rsidRPr="002B6321">
              <w:rPr>
                <w:rFonts w:ascii="Arial" w:hAnsi="Arial" w:cs="Arial"/>
                <w:sz w:val="22"/>
                <w:szCs w:val="22"/>
              </w:rPr>
              <w:t>:</w:t>
            </w:r>
            <w:r w:rsidR="008D541A" w:rsidRPr="002B6321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23E50" w:rsidRPr="002B6321">
              <w:rPr>
                <w:rFonts w:ascii="Arial" w:hAnsi="Arial" w:cs="Arial"/>
                <w:sz w:val="22"/>
                <w:szCs w:val="22"/>
              </w:rPr>
              <w:t>errorism, energy, narcotics, Kashmir, nonprolife</w:t>
            </w:r>
            <w:r w:rsidRPr="002B6321">
              <w:rPr>
                <w:rFonts w:ascii="Arial" w:hAnsi="Arial" w:cs="Arial"/>
                <w:sz w:val="22"/>
                <w:szCs w:val="22"/>
              </w:rPr>
              <w:t>ration, technology and reform</w:t>
            </w:r>
          </w:p>
          <w:p w:rsidR="009B5ED2" w:rsidRPr="00F2625C" w:rsidRDefault="009B5ED2" w:rsidP="009B5ED2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2B6321">
              <w:rPr>
                <w:rFonts w:ascii="Arial" w:hAnsi="Arial" w:cs="Arial"/>
                <w:sz w:val="22"/>
                <w:szCs w:val="22"/>
              </w:rPr>
              <w:t>T</w:t>
            </w:r>
            <w:r w:rsidR="00A23E50" w:rsidRPr="002B6321">
              <w:rPr>
                <w:rFonts w:ascii="Arial" w:hAnsi="Arial" w:cs="Arial"/>
                <w:sz w:val="22"/>
                <w:szCs w:val="22"/>
              </w:rPr>
              <w:t>estifies befo</w:t>
            </w:r>
            <w:r w:rsidRPr="002B6321">
              <w:rPr>
                <w:rFonts w:ascii="Arial" w:hAnsi="Arial" w:cs="Arial"/>
                <w:sz w:val="22"/>
                <w:szCs w:val="22"/>
              </w:rPr>
              <w:t>re congressional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 subcommittees and appears in the media</w:t>
            </w:r>
          </w:p>
          <w:p w:rsidR="009B5ED2" w:rsidRPr="00F2625C" w:rsidRDefault="009B5ED2" w:rsidP="009B5ED2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Provides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 xml:space="preserve"> inst</w:t>
            </w:r>
            <w:r w:rsidRPr="00F2625C">
              <w:rPr>
                <w:rFonts w:ascii="Arial" w:hAnsi="Arial" w:cs="Arial"/>
                <w:sz w:val="22"/>
                <w:szCs w:val="22"/>
              </w:rPr>
              <w:t>ructions and guidance to ambassadors, follows up on diplomatic reporting and communicates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 xml:space="preserve"> with th</w:t>
            </w:r>
            <w:r w:rsidRPr="00F2625C">
              <w:rPr>
                <w:rFonts w:ascii="Arial" w:hAnsi="Arial" w:cs="Arial"/>
                <w:sz w:val="22"/>
                <w:szCs w:val="22"/>
              </w:rPr>
              <w:t>e Washington diplomatic corps</w:t>
            </w:r>
          </w:p>
          <w:p w:rsidR="009B5ED2" w:rsidRPr="00F2625C" w:rsidRDefault="009B5ED2" w:rsidP="009B5ED2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C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 xml:space="preserve">oordinates </w:t>
            </w:r>
            <w:r w:rsidRPr="00F2625C">
              <w:rPr>
                <w:rFonts w:ascii="Arial" w:hAnsi="Arial" w:cs="Arial"/>
                <w:sz w:val="22"/>
                <w:szCs w:val="22"/>
              </w:rPr>
              <w:t>with the assistant secretary of defense for international security affairs and the a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>ssist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ant administrator of the </w:t>
            </w:r>
            <w:r w:rsidR="007877FE" w:rsidRPr="00F2625C">
              <w:rPr>
                <w:rFonts w:ascii="Arial" w:hAnsi="Arial" w:cs="Arial"/>
                <w:sz w:val="22"/>
                <w:szCs w:val="22"/>
              </w:rPr>
              <w:t xml:space="preserve">Agency 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7877FE" w:rsidRPr="00F2625C">
              <w:rPr>
                <w:rFonts w:ascii="Arial" w:hAnsi="Arial" w:cs="Arial"/>
                <w:sz w:val="22"/>
                <w:szCs w:val="22"/>
              </w:rPr>
              <w:t xml:space="preserve">International Development 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>as well as senior officials at o</w:t>
            </w:r>
            <w:r w:rsidRPr="00F2625C">
              <w:rPr>
                <w:rFonts w:ascii="Arial" w:hAnsi="Arial" w:cs="Arial"/>
                <w:sz w:val="22"/>
                <w:szCs w:val="22"/>
              </w:rPr>
              <w:t>ther departments and agencies</w:t>
            </w:r>
          </w:p>
          <w:p w:rsidR="00A23E50" w:rsidRPr="00F2625C" w:rsidRDefault="009B5ED2" w:rsidP="00A23E50">
            <w:pPr>
              <w:pStyle w:val="ListParagraph"/>
              <w:numPr>
                <w:ilvl w:val="0"/>
                <w:numId w:val="1"/>
              </w:numPr>
              <w:ind w:left="253" w:hanging="197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 xml:space="preserve">Coordinates with the assistant secretary for international narcotics and law enforcement, the policy planning staff, the assistant secretary for crisis and stabilization operations, the </w:t>
            </w:r>
            <w:r w:rsidRPr="00F2625C">
              <w:rPr>
                <w:rFonts w:ascii="Arial" w:hAnsi="Arial" w:cs="Arial"/>
                <w:sz w:val="22"/>
                <w:szCs w:val="22"/>
              </w:rPr>
              <w:lastRenderedPageBreak/>
              <w:t>assistant secretary for intelligence and research</w:t>
            </w:r>
            <w:r w:rsidR="008D541A">
              <w:rPr>
                <w:rFonts w:ascii="Arial" w:hAnsi="Arial" w:cs="Arial"/>
                <w:sz w:val="22"/>
                <w:szCs w:val="22"/>
              </w:rPr>
              <w:t>,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 and the coordinator for c</w:t>
            </w:r>
            <w:r w:rsidR="00A23E50" w:rsidRPr="00F2625C">
              <w:rPr>
                <w:rFonts w:ascii="Arial" w:hAnsi="Arial" w:cs="Arial"/>
                <w:sz w:val="22"/>
                <w:szCs w:val="22"/>
              </w:rPr>
              <w:t>ounterterrorism</w:t>
            </w:r>
            <w:r w:rsidR="00A23E50"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6"/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E50" w:rsidRPr="00F2625C" w:rsidRDefault="00A23E50" w:rsidP="00A23E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3E50" w:rsidRPr="00F2625C" w:rsidRDefault="00A23E50" w:rsidP="00A23E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3E50" w:rsidRPr="00F2625C" w:rsidRDefault="00A23E50" w:rsidP="00A23E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[Depends on the policy priorities of the administration]</w:t>
            </w:r>
          </w:p>
          <w:p w:rsidR="00A23E50" w:rsidRPr="00F2625C" w:rsidRDefault="00A23E50" w:rsidP="00A23E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3E50" w:rsidRPr="00F2625C" w:rsidRDefault="00A23E50" w:rsidP="00A23E50">
            <w:pPr>
              <w:ind w:left="7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E50" w:rsidRPr="00F2625C" w:rsidTr="00B9292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23E50" w:rsidRPr="00F2625C" w:rsidRDefault="00A23E50" w:rsidP="00A23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25C">
              <w:rPr>
                <w:rFonts w:ascii="Arial" w:hAnsi="Arial" w:cs="Arial"/>
                <w:b/>
                <w:sz w:val="22"/>
                <w:szCs w:val="22"/>
              </w:rPr>
              <w:t>REQUIREMENTS AND COMPETENCIES</w:t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30CE" w:rsidRPr="00F2625C" w:rsidRDefault="00FB30CE" w:rsidP="00FB30C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Experience in the region</w:t>
            </w:r>
            <w:r w:rsidR="008D541A">
              <w:rPr>
                <w:rFonts w:ascii="Arial" w:eastAsia="Calibri" w:hAnsi="Arial" w:cs="Arial"/>
                <w:bCs/>
                <w:sz w:val="22"/>
                <w:szCs w:val="22"/>
              </w:rPr>
              <w:t>,</w:t>
            </w: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and broad familiarity with regional leaders</w:t>
            </w:r>
          </w:p>
          <w:p w:rsidR="00FB30CE" w:rsidRPr="00F2625C" w:rsidRDefault="00FB30CE" w:rsidP="00FB30C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Government experience</w:t>
            </w:r>
          </w:p>
          <w:p w:rsidR="00A23E50" w:rsidRPr="00F2625C" w:rsidRDefault="00FB30CE" w:rsidP="00FB30CE">
            <w:pPr>
              <w:pStyle w:val="ListParagraph"/>
              <w:numPr>
                <w:ilvl w:val="0"/>
                <w:numId w:val="3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Strong relationships and stature with stakeholders on Capitol Hill and other parts of government</w:t>
            </w:r>
          </w:p>
        </w:tc>
      </w:tr>
      <w:tr w:rsidR="00A23E50" w:rsidRPr="00F2625C" w:rsidTr="00B9292E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7877F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F2625C">
              <w:rPr>
                <w:rFonts w:ascii="Arial" w:hAnsi="Arial" w:cs="Arial"/>
                <w:bCs/>
                <w:sz w:val="22"/>
                <w:szCs w:val="22"/>
              </w:rPr>
              <w:t>Strong communication skills and ability to appear before media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Ability to work well with counterparts in foreign policy positions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Excellent leadership skills</w:t>
            </w:r>
          </w:p>
          <w:p w:rsidR="00F032AB" w:rsidRPr="004313AB" w:rsidRDefault="00F032AB" w:rsidP="00F032AB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Ability to think strategically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yet</w:t>
            </w: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also accomplish the department’s operational priorities</w:t>
            </w:r>
            <w:r w:rsidRPr="004313A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Energy for frequent amount of travel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Strong communication and interpersonal skills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Ability to work under high pressure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Ability to handle sensitive matters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Excellent negotiation skills</w:t>
            </w:r>
          </w:p>
          <w:p w:rsidR="00FB30CE" w:rsidRPr="00F2625C" w:rsidRDefault="00FB30CE" w:rsidP="00F032AB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Cs/>
                <w:sz w:val="22"/>
                <w:szCs w:val="22"/>
              </w:rPr>
            </w:pPr>
            <w:r w:rsidRPr="00F2625C">
              <w:rPr>
                <w:rFonts w:ascii="Arial" w:eastAsia="Calibri" w:hAnsi="Arial" w:cs="Arial"/>
                <w:bCs/>
                <w:sz w:val="22"/>
                <w:szCs w:val="22"/>
              </w:rPr>
              <w:t>Ability to work across partisan lines</w:t>
            </w:r>
          </w:p>
        </w:tc>
      </w:tr>
      <w:tr w:rsidR="00A23E50" w:rsidRPr="00F2625C" w:rsidTr="00B9292E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/>
          </w:tcPr>
          <w:p w:rsidR="00A23E50" w:rsidRPr="00F2625C" w:rsidRDefault="00A23E50" w:rsidP="00A23E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625C">
              <w:rPr>
                <w:rFonts w:ascii="Arial" w:hAnsi="Arial" w:cs="Arial"/>
                <w:b/>
                <w:sz w:val="22"/>
                <w:szCs w:val="22"/>
              </w:rPr>
              <w:t>PAST APPOINTEES</w:t>
            </w:r>
          </w:p>
        </w:tc>
      </w:tr>
      <w:tr w:rsidR="00A23E50" w:rsidRPr="00F2625C" w:rsidTr="003A6A7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A23E50" w:rsidP="007877FE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 xml:space="preserve">Nisha Desai </w:t>
            </w:r>
            <w:proofErr w:type="spellStart"/>
            <w:r w:rsidRPr="00F2625C">
              <w:rPr>
                <w:rFonts w:ascii="Arial" w:hAnsi="Arial" w:cs="Arial"/>
                <w:sz w:val="22"/>
                <w:szCs w:val="22"/>
              </w:rPr>
              <w:t>Biswal</w:t>
            </w:r>
            <w:proofErr w:type="spellEnd"/>
            <w:r w:rsidRPr="00F2625C">
              <w:rPr>
                <w:rFonts w:ascii="Arial" w:hAnsi="Arial" w:cs="Arial"/>
                <w:sz w:val="22"/>
                <w:szCs w:val="22"/>
              </w:rPr>
              <w:t xml:space="preserve"> (2013 to 2017): 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 xml:space="preserve">Assistant Administrator for Asia at </w:t>
            </w:r>
            <w:r w:rsidR="007877FE" w:rsidRPr="00F2625C">
              <w:rPr>
                <w:rFonts w:ascii="Arial" w:hAnsi="Arial" w:cs="Arial"/>
                <w:sz w:val="22"/>
                <w:szCs w:val="22"/>
              </w:rPr>
              <w:t>the United States Agency for International Development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>Majority Clerk for the House Appropriations Committee</w:t>
            </w:r>
            <w:r w:rsidR="008D541A">
              <w:rPr>
                <w:rFonts w:ascii="Arial" w:hAnsi="Arial" w:cs="Arial"/>
                <w:sz w:val="22"/>
                <w:szCs w:val="22"/>
              </w:rPr>
              <w:t>’s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 xml:space="preserve"> Foreign Operations Subcommittee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>Professional Staff in the House Foreign Affairs Committee;</w:t>
            </w:r>
            <w:r w:rsidR="009B5ED2" w:rsidRPr="00F2625C">
              <w:rPr>
                <w:rFonts w:ascii="Arial" w:eastAsiaTheme="minorHAnsi" w:hAnsi="Arial" w:cs="Arial"/>
                <w:color w:val="1E3351"/>
                <w:sz w:val="22"/>
                <w:szCs w:val="22"/>
              </w:rPr>
              <w:t xml:space="preserve"> I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>nternational Delegate to the American Red Cross in Armenia, Georgia and Azerbaijan</w:t>
            </w:r>
            <w:r w:rsidR="009B5ED2"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7"/>
            </w:r>
          </w:p>
        </w:tc>
      </w:tr>
      <w:tr w:rsidR="00A23E50" w:rsidRPr="00F2625C" w:rsidTr="003A6A7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 xml:space="preserve">Robert O. Blake, Jr. (2009 to 2013): 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>Ambassador Extraordinary and Plenipotentiary (Sri Lanka)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B5ED2" w:rsidRPr="00F2625C">
              <w:rPr>
                <w:rFonts w:ascii="Arial" w:hAnsi="Arial" w:cs="Arial"/>
                <w:sz w:val="22"/>
                <w:szCs w:val="22"/>
              </w:rPr>
              <w:t>Ambassador Extraordinary and Plenipotentiary (Maldives)</w:t>
            </w:r>
            <w:r w:rsidRPr="00F2625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5B0D17" w:rsidRPr="00F2625C">
              <w:rPr>
                <w:rFonts w:ascii="Arial" w:hAnsi="Arial" w:cs="Arial"/>
                <w:sz w:val="22"/>
                <w:szCs w:val="22"/>
              </w:rPr>
              <w:t>Deputy Chief of Mission in India</w:t>
            </w:r>
            <w:r w:rsidR="005B0D17"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8"/>
            </w:r>
          </w:p>
        </w:tc>
      </w:tr>
      <w:tr w:rsidR="00A23E50" w:rsidRPr="00F2625C" w:rsidTr="003A6A7D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E50" w:rsidRPr="00F2625C" w:rsidRDefault="00A23E50" w:rsidP="00A23E50">
            <w:pPr>
              <w:rPr>
                <w:rFonts w:ascii="Arial" w:hAnsi="Arial" w:cs="Arial"/>
                <w:sz w:val="22"/>
                <w:szCs w:val="22"/>
              </w:rPr>
            </w:pPr>
            <w:r w:rsidRPr="00F2625C">
              <w:rPr>
                <w:rFonts w:ascii="Arial" w:hAnsi="Arial" w:cs="Arial"/>
                <w:sz w:val="22"/>
                <w:szCs w:val="22"/>
              </w:rPr>
              <w:t>Richard A. Boucher (2006 to 2009): Assistant Secretary of State for Public Affairs; Ambassador Extraordinary and Plenipotentiary to Cyprus</w:t>
            </w:r>
            <w:r w:rsidRPr="00F2625C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9"/>
            </w:r>
            <w:r w:rsidRPr="00F2625C">
              <w:rPr>
                <w:rFonts w:ascii="Arial" w:hAnsi="Arial" w:cs="Arial"/>
                <w:sz w:val="22"/>
                <w:szCs w:val="22"/>
              </w:rPr>
              <w:t>; U.S. Counsel General in Hong Kong</w:t>
            </w:r>
          </w:p>
        </w:tc>
      </w:tr>
      <w:bookmarkEnd w:id="0"/>
    </w:tbl>
    <w:p w:rsidR="00AF731F" w:rsidRDefault="00AF731F" w:rsidP="00F2625C"/>
    <w:sectPr w:rsidR="00AF731F" w:rsidSect="009F5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CF" w:rsidRDefault="003864CF" w:rsidP="00A23E50">
      <w:pPr>
        <w:spacing w:after="0" w:line="240" w:lineRule="auto"/>
      </w:pPr>
      <w:r>
        <w:separator/>
      </w:r>
    </w:p>
  </w:endnote>
  <w:endnote w:type="continuationSeparator" w:id="0">
    <w:p w:rsidR="003864CF" w:rsidRDefault="003864CF" w:rsidP="00A23E50">
      <w:pPr>
        <w:spacing w:after="0" w:line="240" w:lineRule="auto"/>
      </w:pPr>
      <w:r>
        <w:continuationSeparator/>
      </w:r>
    </w:p>
  </w:endnote>
  <w:endnote w:id="1">
    <w:p w:rsidR="009B5ED2" w:rsidRPr="00F2625C" w:rsidRDefault="009B5ED2" w:rsidP="009B5ED2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https://www.state.gov/p/sca/ci/index.htm</w:t>
      </w:r>
    </w:p>
  </w:endnote>
  <w:endnote w:id="2">
    <w:p w:rsidR="00F2625C" w:rsidRPr="00F2625C" w:rsidRDefault="00F2625C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</w:t>
      </w:r>
      <w:r w:rsidR="00C35808" w:rsidRPr="00C35808">
        <w:rPr>
          <w:rFonts w:ascii="Times New Roman" w:hAnsi="Times New Roman" w:cs="Times New Roman"/>
        </w:rP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A23E50" w:rsidRPr="00F2625C" w:rsidRDefault="00A23E50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https://www.state.gov/r/pa/ei/rls/dos/99484.htm</w:t>
      </w:r>
    </w:p>
  </w:endnote>
  <w:endnote w:id="4">
    <w:p w:rsidR="007877FE" w:rsidRPr="00F2625C" w:rsidRDefault="007877FE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https://www.state.gov/documents/organization/252179.pdf</w:t>
      </w:r>
    </w:p>
  </w:endnote>
  <w:endnote w:id="5">
    <w:p w:rsidR="009B5ED2" w:rsidRPr="00F2625C" w:rsidRDefault="009B5ED2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https://lo.bvdep.com/OrgChart.asp?curp=1&amp;LDIBookId=19&amp;LDISectionId=180&amp;LDIOrgId=157931</w:t>
      </w:r>
    </w:p>
  </w:endnote>
  <w:endnote w:id="6">
    <w:p w:rsidR="00A23E50" w:rsidRPr="00F2625C" w:rsidRDefault="00A23E50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OPM</w:t>
      </w:r>
    </w:p>
  </w:endnote>
  <w:endnote w:id="7">
    <w:p w:rsidR="009B5ED2" w:rsidRPr="00F2625C" w:rsidRDefault="009B5ED2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https://2009-2017.state.gov/r/pa/ei/biog/215789.htm</w:t>
      </w:r>
    </w:p>
  </w:endnote>
  <w:endnote w:id="8">
    <w:p w:rsidR="005B0D17" w:rsidRPr="00F2625C" w:rsidRDefault="005B0D17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https://www.academyofdiplomacy.org/member/robert-o-blake-jr/</w:t>
      </w:r>
    </w:p>
  </w:endnote>
  <w:endnote w:id="9">
    <w:p w:rsidR="00A23E50" w:rsidRPr="00F2625C" w:rsidRDefault="00A23E50">
      <w:pPr>
        <w:pStyle w:val="EndnoteText"/>
        <w:rPr>
          <w:rFonts w:ascii="Times New Roman" w:hAnsi="Times New Roman" w:cs="Times New Roman"/>
        </w:rPr>
      </w:pPr>
      <w:r w:rsidRPr="00F2625C">
        <w:rPr>
          <w:rStyle w:val="EndnoteReference"/>
          <w:rFonts w:ascii="Times New Roman" w:hAnsi="Times New Roman" w:cs="Times New Roman"/>
        </w:rPr>
        <w:endnoteRef/>
      </w:r>
      <w:r w:rsidRPr="00F2625C">
        <w:rPr>
          <w:rFonts w:ascii="Times New Roman" w:hAnsi="Times New Roman" w:cs="Times New Roman"/>
        </w:rPr>
        <w:t xml:space="preserve"> https://history.state.gov/departmenthistory/people/boucher-richard-a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9B5ED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C35808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9B5ED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69FA078" wp14:editId="04DBDB5D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C3580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9B5ED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C35808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9B5ED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C35808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CF" w:rsidRDefault="003864CF" w:rsidP="00A23E50">
      <w:pPr>
        <w:spacing w:after="0" w:line="240" w:lineRule="auto"/>
      </w:pPr>
      <w:r>
        <w:separator/>
      </w:r>
    </w:p>
  </w:footnote>
  <w:footnote w:type="continuationSeparator" w:id="0">
    <w:p w:rsidR="003864CF" w:rsidRDefault="003864CF" w:rsidP="00A2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C35808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B0D17">
          <w:rPr>
            <w:rFonts w:ascii="Calibri" w:hAnsi="Calibri"/>
            <w:bCs/>
            <w:caps/>
            <w:sz w:val="18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C35808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C35808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0A31"/>
    <w:multiLevelType w:val="hybridMultilevel"/>
    <w:tmpl w:val="58A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B7A"/>
    <w:multiLevelType w:val="hybridMultilevel"/>
    <w:tmpl w:val="CFFE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8483F"/>
    <w:multiLevelType w:val="hybridMultilevel"/>
    <w:tmpl w:val="B11A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7E42"/>
    <w:multiLevelType w:val="hybridMultilevel"/>
    <w:tmpl w:val="6DD4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E66EE"/>
    <w:multiLevelType w:val="hybridMultilevel"/>
    <w:tmpl w:val="FF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2E"/>
    <w:rsid w:val="00132F22"/>
    <w:rsid w:val="00164FF5"/>
    <w:rsid w:val="001769E8"/>
    <w:rsid w:val="001D2148"/>
    <w:rsid w:val="002B6321"/>
    <w:rsid w:val="003448F9"/>
    <w:rsid w:val="003864CF"/>
    <w:rsid w:val="005B0D17"/>
    <w:rsid w:val="007877FE"/>
    <w:rsid w:val="008D541A"/>
    <w:rsid w:val="009B5ED2"/>
    <w:rsid w:val="009F3BC1"/>
    <w:rsid w:val="00A23E50"/>
    <w:rsid w:val="00AF731F"/>
    <w:rsid w:val="00B9292E"/>
    <w:rsid w:val="00BD6C70"/>
    <w:rsid w:val="00C35808"/>
    <w:rsid w:val="00CB353E"/>
    <w:rsid w:val="00E675E9"/>
    <w:rsid w:val="00F032AB"/>
    <w:rsid w:val="00F2625C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3AB84-1193-4046-9583-AE0A3FBF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92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B9292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nhideWhenUsed/>
    <w:rsid w:val="00B9292E"/>
    <w:pPr>
      <w:tabs>
        <w:tab w:val="center" w:pos="4680"/>
        <w:tab w:val="right" w:pos="9360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B9292E"/>
    <w:rPr>
      <w:rFonts w:ascii="Times New Roman" w:eastAsia="Calibri" w:hAnsi="Times New Roman" w:cs="Times New Roman"/>
    </w:rPr>
  </w:style>
  <w:style w:type="character" w:styleId="PageNumber">
    <w:name w:val="page number"/>
    <w:basedOn w:val="DefaultParagraphFont"/>
    <w:rsid w:val="00B9292E"/>
  </w:style>
  <w:style w:type="table" w:styleId="TableGrid">
    <w:name w:val="Table Grid"/>
    <w:aliases w:val="Clutch Table"/>
    <w:basedOn w:val="TableNormal"/>
    <w:uiPriority w:val="59"/>
    <w:rsid w:val="00B9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GAppendixBodyHeaders">
    <w:name w:val="TG_Appendix Body (Headers)"/>
    <w:basedOn w:val="Normal"/>
    <w:uiPriority w:val="99"/>
    <w:rsid w:val="00B9292E"/>
    <w:pPr>
      <w:widowControl w:val="0"/>
      <w:tabs>
        <w:tab w:val="left" w:pos="720"/>
      </w:tabs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GothamNarrow-Book" w:eastAsia="Calibri" w:hAnsi="GothamNarrow-Book" w:cs="GothamNarrow-Book"/>
      <w:color w:val="000000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3E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3E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3E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B5E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30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30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1C654-9690-43D2-8405-8DC0A2131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Abbott</dc:creator>
  <cp:keywords/>
  <dc:description/>
  <cp:lastModifiedBy>Casey Dennison</cp:lastModifiedBy>
  <cp:revision>5</cp:revision>
  <dcterms:created xsi:type="dcterms:W3CDTF">2017-02-28T21:06:00Z</dcterms:created>
  <dcterms:modified xsi:type="dcterms:W3CDTF">2017-08-23T20:32:00Z</dcterms:modified>
</cp:coreProperties>
</file>