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38E75" w14:textId="77777777" w:rsidR="00985176" w:rsidRPr="00985176" w:rsidRDefault="00985176" w:rsidP="00985176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985176">
        <w:rPr>
          <w:rFonts w:ascii="Arial" w:eastAsia="MS Gothic" w:hAnsi="Arial" w:cs="Arial"/>
          <w:bCs/>
          <w:caps/>
          <w:sz w:val="20"/>
        </w:rPr>
        <w:t>POSITION DESCRIPTION</w:t>
      </w:r>
    </w:p>
    <w:p w14:paraId="5C3CD92C" w14:textId="06454ADB" w:rsidR="00985176" w:rsidRPr="00985176" w:rsidRDefault="00D53906" w:rsidP="00985176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 w:rsidRPr="00D53906">
        <w:rPr>
          <w:rFonts w:ascii="Arial" w:eastAsia="MS Gothic" w:hAnsi="Arial" w:cs="Arial"/>
          <w:b/>
          <w:bCs/>
          <w:caps/>
          <w:sz w:val="26"/>
          <w:szCs w:val="26"/>
        </w:rPr>
        <w:t>Assistant Secretary (Conflict and Stabilization Operations) and Coordinator for Reconstruction and Stabilization</w:t>
      </w:r>
      <w:r w:rsidR="00985176" w:rsidRPr="00985176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 w:rsidR="000161D6"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14:paraId="25644F71" w14:textId="77777777" w:rsidR="00985176" w:rsidRPr="00985176" w:rsidRDefault="00985176" w:rsidP="00985176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9"/>
        <w:gridCol w:w="6783"/>
      </w:tblGrid>
      <w:tr w:rsidR="006A460E" w:rsidRPr="006A460E" w14:paraId="39E880F8" w14:textId="77777777" w:rsidTr="00D26D3A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14486F74" w14:textId="77777777" w:rsidR="00985176" w:rsidRPr="006A460E" w:rsidRDefault="00985176" w:rsidP="00985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0E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6A460E" w:rsidRPr="006A460E" w14:paraId="5B8E8895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7A87D0B" w14:textId="77777777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C566" w14:textId="77777777" w:rsidR="00985176" w:rsidRPr="006A460E" w:rsidRDefault="000161D6" w:rsidP="009851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6A460E" w:rsidRPr="006A460E" w14:paraId="2BF391E0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61AB49E" w14:textId="77777777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C7DF" w14:textId="77777777" w:rsidR="00985176" w:rsidRPr="006A460E" w:rsidRDefault="000161D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diplomacy, and the secretary is the president’s principal foreign policy advisor.</w:t>
            </w:r>
          </w:p>
        </w:tc>
      </w:tr>
      <w:tr w:rsidR="006A460E" w:rsidRPr="006A460E" w14:paraId="1C0BD056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A300C60" w14:textId="77777777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9C16" w14:textId="68C23EE4" w:rsidR="00985176" w:rsidRPr="006A460E" w:rsidRDefault="00F33B1D" w:rsidP="00D26D3A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 xml:space="preserve">The assistant secretary </w:t>
            </w:r>
            <w:r w:rsidR="00D26D3A" w:rsidRPr="006A460E">
              <w:rPr>
                <w:rFonts w:ascii="Arial" w:hAnsi="Arial" w:cs="Arial"/>
                <w:bCs/>
                <w:sz w:val="22"/>
                <w:szCs w:val="22"/>
              </w:rPr>
              <w:t>of state (</w:t>
            </w:r>
            <w:r w:rsidR="00D26D3A" w:rsidRPr="006A460E">
              <w:rPr>
                <w:rFonts w:ascii="Arial" w:hAnsi="Arial" w:cs="Arial"/>
                <w:sz w:val="22"/>
                <w:szCs w:val="22"/>
              </w:rPr>
              <w:t xml:space="preserve">conflict and stabilization operations) </w:t>
            </w:r>
            <w:r w:rsidR="00D26D3A" w:rsidRPr="006A460E">
              <w:rPr>
                <w:rFonts w:ascii="Arial" w:hAnsi="Arial" w:cs="Arial"/>
                <w:bCs/>
                <w:sz w:val="22"/>
                <w:szCs w:val="22"/>
              </w:rPr>
              <w:t xml:space="preserve">and coordinator for reconstruction and stabilization </w:t>
            </w:r>
            <w:r w:rsidRPr="006A460E">
              <w:rPr>
                <w:rFonts w:ascii="Arial" w:hAnsi="Arial" w:cs="Arial"/>
                <w:sz w:val="22"/>
                <w:szCs w:val="22"/>
              </w:rPr>
              <w:t>advances State’s understanding of violent conflict through analysis and p</w:t>
            </w:r>
            <w:r w:rsidR="002C4900" w:rsidRPr="006A460E">
              <w:rPr>
                <w:rFonts w:ascii="Arial" w:hAnsi="Arial" w:cs="Arial"/>
                <w:sz w:val="22"/>
                <w:szCs w:val="22"/>
              </w:rPr>
              <w:t>lanning; monitoring, evaluation</w:t>
            </w:r>
            <w:r w:rsidRPr="006A460E">
              <w:rPr>
                <w:rFonts w:ascii="Arial" w:hAnsi="Arial" w:cs="Arial"/>
                <w:sz w:val="22"/>
                <w:szCs w:val="22"/>
              </w:rPr>
              <w:t xml:space="preserve"> and learning; and targeted, in-country efforts that help the U.S.</w:t>
            </w:r>
            <w:r w:rsidR="002C4900" w:rsidRPr="006A460E">
              <w:rPr>
                <w:rFonts w:ascii="Arial" w:hAnsi="Arial" w:cs="Arial"/>
                <w:sz w:val="22"/>
                <w:szCs w:val="22"/>
              </w:rPr>
              <w:t xml:space="preserve"> government anticipate, prevent</w:t>
            </w:r>
            <w:r w:rsidRPr="006A460E">
              <w:rPr>
                <w:rFonts w:ascii="Arial" w:hAnsi="Arial" w:cs="Arial"/>
                <w:sz w:val="22"/>
                <w:szCs w:val="22"/>
              </w:rPr>
              <w:t xml:space="preserve"> and respond to conflict and promote long-term stability.</w:t>
            </w:r>
            <w:r w:rsidRPr="006A460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6A460E" w:rsidRPr="006A460E" w14:paraId="4AEF78B4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C442CA4" w14:textId="77777777" w:rsidR="00985176" w:rsidRPr="006A460E" w:rsidRDefault="00985176" w:rsidP="0098517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484D" w14:textId="087250F9" w:rsidR="00985176" w:rsidRPr="006A460E" w:rsidRDefault="00EF09E1" w:rsidP="005E09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5E09D1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985176" w:rsidRPr="006A460E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="000161D6" w:rsidRPr="006A460E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6A460E" w:rsidRPr="006A460E" w14:paraId="258192F6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FF67D36" w14:textId="77777777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6912" w14:textId="77777777" w:rsidR="00985176" w:rsidRPr="006A460E" w:rsidRDefault="002348CC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Undersecretary for Civilian Security, Democracy and Human Rights</w:t>
            </w:r>
            <w:r w:rsidRPr="006A460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</w:tr>
      <w:tr w:rsidR="006A460E" w:rsidRPr="006A460E" w14:paraId="61507F6C" w14:textId="77777777" w:rsidTr="00D26D3A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76EF9C6A" w14:textId="77777777" w:rsidR="00985176" w:rsidRPr="006A460E" w:rsidRDefault="00985176" w:rsidP="00985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0E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6A460E" w:rsidRPr="006A460E" w14:paraId="40046406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835483F" w14:textId="77777777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BC35" w14:textId="080847CC" w:rsidR="00D26D3A" w:rsidRPr="006A460E" w:rsidRDefault="00D26D3A" w:rsidP="00D26D3A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 xml:space="preserve">In fiscal 2015, the </w:t>
            </w:r>
            <w:r w:rsidR="002C4900" w:rsidRPr="006A460E">
              <w:rPr>
                <w:rFonts w:ascii="Arial" w:hAnsi="Arial" w:cs="Arial"/>
                <w:bCs/>
                <w:sz w:val="22"/>
                <w:szCs w:val="22"/>
              </w:rPr>
              <w:t xml:space="preserve">Bureau </w:t>
            </w:r>
            <w:r w:rsidRPr="006A460E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2C4900" w:rsidRPr="006A460E">
              <w:rPr>
                <w:rFonts w:ascii="Arial" w:hAnsi="Arial" w:cs="Arial"/>
                <w:bCs/>
                <w:sz w:val="22"/>
                <w:szCs w:val="22"/>
              </w:rPr>
              <w:t xml:space="preserve">Conflict </w:t>
            </w:r>
            <w:r w:rsidRPr="006A460E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2C4900" w:rsidRPr="006A460E">
              <w:rPr>
                <w:rFonts w:ascii="Arial" w:hAnsi="Arial" w:cs="Arial"/>
                <w:bCs/>
                <w:sz w:val="22"/>
                <w:szCs w:val="22"/>
              </w:rPr>
              <w:t xml:space="preserve">Stabilization Operations </w:t>
            </w:r>
            <w:r w:rsidRPr="006A460E">
              <w:rPr>
                <w:rFonts w:ascii="Arial" w:hAnsi="Arial" w:cs="Arial"/>
                <w:bCs/>
                <w:sz w:val="22"/>
                <w:szCs w:val="22"/>
              </w:rPr>
              <w:t xml:space="preserve">had an actual budget of $22.732 million and the assistant secretary and coordinator for reconstruction and stabilization oversees four offices: </w:t>
            </w:r>
          </w:p>
          <w:p w14:paraId="289541F4" w14:textId="77777777" w:rsidR="00D26D3A" w:rsidRPr="006A460E" w:rsidRDefault="00D26D3A" w:rsidP="002C4900">
            <w:pPr>
              <w:pStyle w:val="ListParagraph"/>
              <w:numPr>
                <w:ilvl w:val="0"/>
                <w:numId w:val="2"/>
              </w:numPr>
              <w:ind w:left="274" w:hanging="20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Office of the Executive Director</w:t>
            </w:r>
          </w:p>
          <w:p w14:paraId="010FFB7F" w14:textId="77777777" w:rsidR="00D26D3A" w:rsidRPr="006A460E" w:rsidRDefault="00D26D3A" w:rsidP="002C4900">
            <w:pPr>
              <w:pStyle w:val="ListParagraph"/>
              <w:numPr>
                <w:ilvl w:val="0"/>
                <w:numId w:val="2"/>
              </w:numPr>
              <w:ind w:left="274" w:hanging="20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Office of Partnerships and Strategic Communication</w:t>
            </w:r>
          </w:p>
          <w:p w14:paraId="5D2FE00C" w14:textId="77777777" w:rsidR="00D26D3A" w:rsidRPr="006A460E" w:rsidRDefault="00D26D3A" w:rsidP="002C4900">
            <w:pPr>
              <w:pStyle w:val="ListParagraph"/>
              <w:numPr>
                <w:ilvl w:val="0"/>
                <w:numId w:val="2"/>
              </w:numPr>
              <w:ind w:left="274" w:hanging="20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Office of African, East Asian, Pacific and South and Central Asian Affairs</w:t>
            </w:r>
          </w:p>
          <w:p w14:paraId="10B30CF2" w14:textId="77777777" w:rsidR="00985176" w:rsidRPr="006A460E" w:rsidRDefault="00D26D3A" w:rsidP="002C4900">
            <w:pPr>
              <w:pStyle w:val="ListParagraph"/>
              <w:numPr>
                <w:ilvl w:val="0"/>
                <w:numId w:val="2"/>
              </w:numPr>
              <w:ind w:left="274" w:hanging="20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Office of Near Eastern, Western Hemisphere and European Affairs</w:t>
            </w:r>
            <w:r w:rsidRPr="006A460E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4"/>
            </w:r>
          </w:p>
        </w:tc>
      </w:tr>
      <w:tr w:rsidR="006A460E" w:rsidRPr="006A460E" w14:paraId="7EA5BE0B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37E184B" w14:textId="77777777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6341" w14:textId="58D6D96E" w:rsidR="00DB0453" w:rsidRPr="006A460E" w:rsidRDefault="00DB0453" w:rsidP="002C4900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 xml:space="preserve">Serves as the coordinator for reconstruction and stabilization and manages the </w:t>
            </w:r>
            <w:r w:rsidR="002C4900" w:rsidRPr="006A460E">
              <w:rPr>
                <w:rFonts w:ascii="Arial" w:hAnsi="Arial" w:cs="Arial"/>
                <w:sz w:val="22"/>
                <w:szCs w:val="22"/>
              </w:rPr>
              <w:t xml:space="preserve">Bureau </w:t>
            </w:r>
            <w:r w:rsidRPr="006A460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2C4900" w:rsidRPr="006A460E">
              <w:rPr>
                <w:rFonts w:ascii="Arial" w:hAnsi="Arial" w:cs="Arial"/>
                <w:sz w:val="22"/>
                <w:szCs w:val="22"/>
              </w:rPr>
              <w:t xml:space="preserve">Conflict </w:t>
            </w:r>
            <w:r w:rsidRPr="006A460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C4900" w:rsidRPr="006A460E">
              <w:rPr>
                <w:rFonts w:ascii="Arial" w:hAnsi="Arial" w:cs="Arial"/>
                <w:sz w:val="22"/>
                <w:szCs w:val="22"/>
              </w:rPr>
              <w:t xml:space="preserve">Stabilization Operations </w:t>
            </w:r>
          </w:p>
          <w:p w14:paraId="29409DD0" w14:textId="49B41A11" w:rsidR="00DB0453" w:rsidRPr="006A460E" w:rsidRDefault="002C4900" w:rsidP="002C4900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Serves as</w:t>
            </w:r>
            <w:r w:rsidR="00DB0453" w:rsidRPr="006A460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senior advisor on conflict and instability issues in fragile states and works to advances U.S. national security by breaking cycles of violent conflict and mitigati</w:t>
            </w:r>
            <w:r w:rsidR="00DB0453" w:rsidRPr="006A460E">
              <w:rPr>
                <w:rFonts w:ascii="Arial" w:hAnsi="Arial" w:cs="Arial"/>
                <w:sz w:val="22"/>
                <w:szCs w:val="22"/>
              </w:rPr>
              <w:t>ng crises in priority countries</w:t>
            </w:r>
          </w:p>
          <w:p w14:paraId="2EF30F4D" w14:textId="77777777" w:rsidR="00DB0453" w:rsidRPr="006A460E" w:rsidRDefault="00DB0453" w:rsidP="002C4900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 xml:space="preserve">Oversees 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development of long-range strategic policies and plans related to engagement in conflict prevention, crisis response and stabilization to address the underlying c</w:t>
            </w:r>
            <w:r w:rsidRPr="006A460E">
              <w:rPr>
                <w:rFonts w:ascii="Arial" w:hAnsi="Arial" w:cs="Arial"/>
                <w:sz w:val="22"/>
                <w:szCs w:val="22"/>
              </w:rPr>
              <w:t>auses of destabilizing violence</w:t>
            </w:r>
          </w:p>
          <w:p w14:paraId="3D9ED58A" w14:textId="77777777" w:rsidR="00DB0453" w:rsidRPr="006A460E" w:rsidRDefault="00DB0453" w:rsidP="002C4900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ollaborates with relevant partners to harmonize civilian and military plans and operations pertaining to confl</w:t>
            </w:r>
            <w:r w:rsidRPr="006A460E">
              <w:rPr>
                <w:rFonts w:ascii="Arial" w:hAnsi="Arial" w:cs="Arial"/>
                <w:sz w:val="22"/>
                <w:szCs w:val="22"/>
              </w:rPr>
              <w:t>ict prevention, crisis response and stabilization</w:t>
            </w:r>
          </w:p>
          <w:p w14:paraId="1172DD70" w14:textId="77777777" w:rsidR="00F33B1D" w:rsidRPr="006A460E" w:rsidRDefault="00DB0453" w:rsidP="002C4900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Coordinates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 xml:space="preserve"> with senior personnel at other departments and agencies, Congress, nongovernmental organizations, foreign governments, international/regional org</w:t>
            </w:r>
            <w:r w:rsidRPr="006A460E">
              <w:rPr>
                <w:rFonts w:ascii="Arial" w:hAnsi="Arial" w:cs="Arial"/>
                <w:sz w:val="22"/>
                <w:szCs w:val="22"/>
              </w:rPr>
              <w:t xml:space="preserve">anizations, the private sector 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and the public</w:t>
            </w:r>
            <w:r w:rsidR="002348CC" w:rsidRPr="006A460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</w:tc>
      </w:tr>
      <w:tr w:rsidR="006A460E" w:rsidRPr="006A460E" w14:paraId="21F66711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7789A37" w14:textId="77777777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11150" w14:textId="77777777" w:rsidR="00985176" w:rsidRPr="006A460E" w:rsidRDefault="00985176" w:rsidP="00985176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C20208" w14:textId="77777777" w:rsidR="00985176" w:rsidRPr="006A460E" w:rsidRDefault="00985176" w:rsidP="00985176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4A9D2" w14:textId="77777777" w:rsidR="00985176" w:rsidRPr="006A460E" w:rsidRDefault="00985176" w:rsidP="00985176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14:paraId="2B83D0FB" w14:textId="77777777" w:rsidR="00985176" w:rsidRPr="006A460E" w:rsidRDefault="00985176" w:rsidP="00985176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F4F20A" w14:textId="77777777" w:rsidR="00985176" w:rsidRPr="006A460E" w:rsidRDefault="00985176" w:rsidP="00985176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60E" w:rsidRPr="006A460E" w14:paraId="20F315B0" w14:textId="77777777" w:rsidTr="00D26D3A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04DCAD5A" w14:textId="77777777" w:rsidR="00985176" w:rsidRPr="006A460E" w:rsidRDefault="00985176" w:rsidP="00985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0E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6A460E" w:rsidRPr="006A460E" w14:paraId="7BB5681C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893B910" w14:textId="77777777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FE3D" w14:textId="125C6B01" w:rsidR="00985176" w:rsidRPr="006A460E" w:rsidRDefault="00C6025A" w:rsidP="006A460E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 xml:space="preserve">Expertise in the field of conflict prevention </w:t>
            </w:r>
            <w:r w:rsidR="00E5483F" w:rsidRPr="006A460E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A460E" w:rsidRPr="006A460E">
              <w:rPr>
                <w:rFonts w:ascii="Arial" w:hAnsi="Arial" w:cs="Arial"/>
                <w:bCs/>
                <w:sz w:val="22"/>
                <w:szCs w:val="22"/>
              </w:rPr>
              <w:t>nd a strong analytic background</w:t>
            </w:r>
          </w:p>
        </w:tc>
      </w:tr>
      <w:tr w:rsidR="006A460E" w:rsidRPr="006A460E" w14:paraId="02D97360" w14:textId="77777777" w:rsidTr="002C4900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9680769" w14:textId="04A2680A" w:rsidR="00985176" w:rsidRPr="006A460E" w:rsidRDefault="00985176" w:rsidP="00985176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C3BA" w14:textId="75A9B1D8" w:rsidR="006A460E" w:rsidRPr="006A460E" w:rsidRDefault="006A460E" w:rsidP="006A460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Ability to prioritize the Bureau’s efforts, ensure the production of clear, thorough and well-supported conflict analysis, and effectively communicate the Bureau’s findings within the department and interagency</w:t>
            </w:r>
          </w:p>
          <w:p w14:paraId="667FAB01" w14:textId="77777777" w:rsidR="006A460E" w:rsidRPr="006A460E" w:rsidRDefault="00985176" w:rsidP="006A460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Strong communic</w:t>
            </w:r>
            <w:r w:rsidR="006A460E" w:rsidRPr="006A460E">
              <w:rPr>
                <w:rFonts w:ascii="Arial" w:hAnsi="Arial" w:cs="Arial"/>
                <w:bCs/>
                <w:sz w:val="22"/>
                <w:szCs w:val="22"/>
              </w:rPr>
              <w:t>ation and interpersonal skill</w:t>
            </w:r>
          </w:p>
          <w:p w14:paraId="5715938E" w14:textId="01341709" w:rsidR="006A460E" w:rsidRPr="006A460E" w:rsidRDefault="006A460E" w:rsidP="006A460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Excellent negotiation skills</w:t>
            </w:r>
          </w:p>
          <w:p w14:paraId="7A17EC84" w14:textId="468AD4E1" w:rsidR="00985176" w:rsidRPr="006A460E" w:rsidRDefault="00985176" w:rsidP="006A460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6A460E">
              <w:rPr>
                <w:rFonts w:ascii="Arial" w:hAnsi="Arial" w:cs="Arial"/>
                <w:bCs/>
                <w:sz w:val="22"/>
                <w:szCs w:val="22"/>
              </w:rPr>
              <w:t>Ability to work in a matrixed agency</w:t>
            </w:r>
          </w:p>
        </w:tc>
      </w:tr>
      <w:tr w:rsidR="006A460E" w:rsidRPr="006A460E" w14:paraId="0D6D10A6" w14:textId="77777777" w:rsidTr="00D26D3A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6B2BE13F" w14:textId="71CA83ED" w:rsidR="00985176" w:rsidRPr="006A460E" w:rsidRDefault="00985176" w:rsidP="00985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0E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6A460E" w:rsidRPr="006A460E" w14:paraId="0B1A8113" w14:textId="77777777" w:rsidTr="00D26D3A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63EF" w14:textId="7508D2EC" w:rsidR="00985176" w:rsidRPr="006A460E" w:rsidRDefault="000161D6" w:rsidP="00E32D12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David M. Robinson</w:t>
            </w:r>
            <w:r w:rsidR="00985176" w:rsidRPr="006A460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 xml:space="preserve">2015 to </w:t>
            </w:r>
            <w:r w:rsidR="00E32D12">
              <w:rPr>
                <w:rFonts w:ascii="Arial" w:hAnsi="Arial" w:cs="Arial"/>
                <w:sz w:val="22"/>
                <w:szCs w:val="22"/>
              </w:rPr>
              <w:t>2017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)</w:t>
            </w:r>
            <w:r w:rsidR="002348CC" w:rsidRPr="006A460E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Principal Deputy High Representative in Bosnia and Herzegovina</w:t>
            </w:r>
            <w:r w:rsidR="00985176" w:rsidRPr="006A460E">
              <w:rPr>
                <w:rFonts w:ascii="Arial" w:hAnsi="Arial" w:cs="Arial"/>
                <w:sz w:val="22"/>
                <w:szCs w:val="22"/>
              </w:rPr>
              <w:t>;</w:t>
            </w:r>
            <w:r w:rsidR="002348CC" w:rsidRPr="006A460E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Assistant Chief of Mission at the Embassy in Kabul, Afghanistan</w:t>
            </w:r>
            <w:r w:rsidR="00985176" w:rsidRPr="006A460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Deputy Assistant Secretary of State in the Bureau of Population, Refugees and Migration</w:t>
            </w:r>
            <w:r w:rsidR="002348CC" w:rsidRPr="006A460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</w:tr>
      <w:tr w:rsidR="006A460E" w:rsidRPr="006A460E" w14:paraId="45480EE9" w14:textId="77777777" w:rsidTr="00D26D3A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60B1" w14:textId="77777777" w:rsidR="00985176" w:rsidRPr="006A460E" w:rsidRDefault="000161D6" w:rsidP="002348CC">
            <w:pPr>
              <w:rPr>
                <w:rFonts w:ascii="Arial" w:hAnsi="Arial" w:cs="Arial"/>
                <w:sz w:val="22"/>
                <w:szCs w:val="22"/>
              </w:rPr>
            </w:pPr>
            <w:r w:rsidRPr="006A460E">
              <w:rPr>
                <w:rFonts w:ascii="Arial" w:hAnsi="Arial" w:cs="Arial"/>
                <w:sz w:val="22"/>
                <w:szCs w:val="22"/>
              </w:rPr>
              <w:t>Frederick D. Barton</w:t>
            </w:r>
            <w:r w:rsidR="00985176" w:rsidRPr="006A460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2012 to 2014</w:t>
            </w:r>
            <w:r w:rsidR="00985176" w:rsidRPr="006A460E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348CC" w:rsidRPr="006A460E">
              <w:rPr>
                <w:rFonts w:ascii="Arial" w:hAnsi="Arial" w:cs="Arial"/>
                <w:sz w:val="22"/>
                <w:szCs w:val="22"/>
              </w:rPr>
              <w:t>S</w:t>
            </w:r>
            <w:r w:rsidR="002348CC" w:rsidRPr="006A460E">
              <w:rPr>
                <w:rFonts w:ascii="Arial" w:hAnsi="Arial" w:cs="Arial"/>
                <w:sz w:val="22"/>
                <w:szCs w:val="22"/>
                <w:lang w:val="en"/>
              </w:rPr>
              <w:t>enior Advisor to the Secretary of State on Conflict and Stabilization; United States Representative to the Economic and Social Council of the United Nations; Deputy High Commissioner of the United Nations Refugee Agency</w:t>
            </w:r>
            <w:r w:rsidR="002348CC" w:rsidRPr="006A460E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7"/>
            </w:r>
          </w:p>
        </w:tc>
      </w:tr>
      <w:bookmarkEnd w:id="0"/>
    </w:tbl>
    <w:p w14:paraId="1F0FBAFA" w14:textId="77777777" w:rsidR="002D55B6" w:rsidRDefault="002D55B6"/>
    <w:sectPr w:rsidR="002D55B6" w:rsidSect="00C60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AF078" w14:textId="77777777" w:rsidR="00C6025A" w:rsidRDefault="00C6025A" w:rsidP="000161D6">
      <w:pPr>
        <w:spacing w:after="0" w:line="240" w:lineRule="auto"/>
      </w:pPr>
      <w:r>
        <w:separator/>
      </w:r>
    </w:p>
  </w:endnote>
  <w:endnote w:type="continuationSeparator" w:id="0">
    <w:p w14:paraId="32754B26" w14:textId="77777777" w:rsidR="00C6025A" w:rsidRDefault="00C6025A" w:rsidP="000161D6">
      <w:pPr>
        <w:spacing w:after="0" w:line="240" w:lineRule="auto"/>
      </w:pPr>
      <w:r>
        <w:continuationSeparator/>
      </w:r>
    </w:p>
  </w:endnote>
  <w:endnote w:id="1">
    <w:p w14:paraId="225B29E3" w14:textId="77777777" w:rsidR="00C6025A" w:rsidRPr="002C4900" w:rsidRDefault="00C6025A" w:rsidP="00F33B1D">
      <w:pPr>
        <w:pStyle w:val="EndnoteText"/>
        <w:rPr>
          <w:rFonts w:ascii="Times New Roman" w:hAnsi="Times New Roman" w:cs="Times New Roman"/>
        </w:rPr>
      </w:pPr>
      <w:r w:rsidRPr="002C4900">
        <w:rPr>
          <w:rStyle w:val="EndnoteReference"/>
          <w:rFonts w:ascii="Times New Roman" w:hAnsi="Times New Roman" w:cs="Times New Roman"/>
        </w:rPr>
        <w:endnoteRef/>
      </w:r>
      <w:r w:rsidRPr="002C4900">
        <w:rPr>
          <w:rFonts w:ascii="Times New Roman" w:hAnsi="Times New Roman" w:cs="Times New Roman"/>
        </w:rPr>
        <w:t xml:space="preserve"> https://www.state.gov/j/cso/</w:t>
      </w:r>
    </w:p>
  </w:endnote>
  <w:endnote w:id="2">
    <w:p w14:paraId="1E62B36C" w14:textId="6AF2F817" w:rsidR="00C6025A" w:rsidRPr="002C4900" w:rsidRDefault="00C6025A">
      <w:pPr>
        <w:pStyle w:val="EndnoteText"/>
        <w:rPr>
          <w:rFonts w:ascii="Times New Roman" w:hAnsi="Times New Roman" w:cs="Times New Roman"/>
        </w:rPr>
      </w:pPr>
      <w:r w:rsidRPr="002C4900">
        <w:rPr>
          <w:rStyle w:val="EndnoteReference"/>
          <w:rFonts w:ascii="Times New Roman" w:hAnsi="Times New Roman" w:cs="Times New Roman"/>
        </w:rPr>
        <w:endnoteRef/>
      </w:r>
      <w:r w:rsidR="006A460E">
        <w:rPr>
          <w:rFonts w:ascii="Times New Roman" w:hAnsi="Times New Roman" w:cs="Times New Roman"/>
        </w:rPr>
        <w:t xml:space="preserve"> </w:t>
      </w:r>
      <w:r w:rsidR="00D10EF7" w:rsidRPr="00D10EF7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14:paraId="4B89F46D" w14:textId="77777777" w:rsidR="00C6025A" w:rsidRPr="002C4900" w:rsidRDefault="00C6025A">
      <w:pPr>
        <w:pStyle w:val="EndnoteText"/>
        <w:rPr>
          <w:rFonts w:ascii="Times New Roman" w:hAnsi="Times New Roman" w:cs="Times New Roman"/>
        </w:rPr>
      </w:pPr>
      <w:r w:rsidRPr="002C4900">
        <w:rPr>
          <w:rStyle w:val="EndnoteReference"/>
          <w:rFonts w:ascii="Times New Roman" w:hAnsi="Times New Roman" w:cs="Times New Roman"/>
        </w:rPr>
        <w:endnoteRef/>
      </w:r>
      <w:r w:rsidRPr="002C4900">
        <w:rPr>
          <w:rFonts w:ascii="Times New Roman" w:hAnsi="Times New Roman" w:cs="Times New Roman"/>
        </w:rPr>
        <w:t xml:space="preserve"> https://www.state.gov/documents/organization/263637.pdf</w:t>
      </w:r>
    </w:p>
  </w:endnote>
  <w:endnote w:id="4">
    <w:p w14:paraId="11952EAA" w14:textId="1F56ECBF" w:rsidR="00C6025A" w:rsidRPr="002C4900" w:rsidRDefault="00C6025A">
      <w:pPr>
        <w:pStyle w:val="EndnoteText"/>
        <w:rPr>
          <w:rFonts w:ascii="Times New Roman" w:hAnsi="Times New Roman" w:cs="Times New Roman"/>
        </w:rPr>
      </w:pPr>
      <w:r w:rsidRPr="002C4900">
        <w:rPr>
          <w:rStyle w:val="EndnoteReference"/>
          <w:rFonts w:ascii="Times New Roman" w:hAnsi="Times New Roman" w:cs="Times New Roman"/>
        </w:rPr>
        <w:endnoteRef/>
      </w:r>
      <w:r w:rsidRPr="002C4900">
        <w:rPr>
          <w:rFonts w:ascii="Times New Roman" w:hAnsi="Times New Roman" w:cs="Times New Roman"/>
        </w:rPr>
        <w:t xml:space="preserve"> </w:t>
      </w:r>
      <w:hyperlink r:id="rId1" w:history="1">
        <w:r w:rsidRPr="002C4900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https://www.state.gov/documents/organization/252179.pdf</w:t>
        </w:r>
      </w:hyperlink>
      <w:r w:rsidRPr="002C4900">
        <w:rPr>
          <w:rFonts w:ascii="Times New Roman" w:hAnsi="Times New Roman" w:cs="Times New Roman"/>
          <w:bCs/>
        </w:rPr>
        <w:t>)</w:t>
      </w:r>
    </w:p>
    <w:p w14:paraId="7CC79122" w14:textId="232BFAC3" w:rsidR="00C6025A" w:rsidRPr="002C4900" w:rsidRDefault="00D10EF7">
      <w:pPr>
        <w:pStyle w:val="EndnoteText"/>
        <w:rPr>
          <w:rFonts w:ascii="Times New Roman" w:hAnsi="Times New Roman" w:cs="Times New Roman"/>
        </w:rPr>
      </w:pPr>
      <w:hyperlink r:id="rId2" w:history="1">
        <w:r w:rsidR="00C6025A" w:rsidRPr="002C4900">
          <w:rPr>
            <w:rStyle w:val="Hyperlink"/>
            <w:rFonts w:ascii="Times New Roman" w:eastAsia="Times New Roman" w:hAnsi="Times New Roman" w:cs="Times New Roman"/>
            <w:bCs/>
            <w:color w:val="auto"/>
            <w:u w:val="none"/>
          </w:rPr>
          <w:t>https://lo.bvdep.com/OrgChart.asp?curp=1&amp;LDIBookId=19&amp;LDISectionId=180&amp;LDIOrgId=231886</w:t>
        </w:r>
      </w:hyperlink>
    </w:p>
  </w:endnote>
  <w:endnote w:id="5">
    <w:p w14:paraId="0F17C927" w14:textId="77777777" w:rsidR="00C6025A" w:rsidRPr="002C4900" w:rsidRDefault="00C6025A">
      <w:pPr>
        <w:pStyle w:val="EndnoteText"/>
        <w:rPr>
          <w:rFonts w:ascii="Times New Roman" w:hAnsi="Times New Roman" w:cs="Times New Roman"/>
        </w:rPr>
      </w:pPr>
      <w:r w:rsidRPr="002C4900">
        <w:rPr>
          <w:rStyle w:val="EndnoteReference"/>
          <w:rFonts w:ascii="Times New Roman" w:hAnsi="Times New Roman" w:cs="Times New Roman"/>
        </w:rPr>
        <w:endnoteRef/>
      </w:r>
      <w:r w:rsidRPr="002C4900">
        <w:rPr>
          <w:rFonts w:ascii="Times New Roman" w:hAnsi="Times New Roman" w:cs="Times New Roman"/>
        </w:rPr>
        <w:t xml:space="preserve"> OPM PD</w:t>
      </w:r>
    </w:p>
  </w:endnote>
  <w:endnote w:id="6">
    <w:p w14:paraId="1E8CA421" w14:textId="77777777" w:rsidR="00C6025A" w:rsidRPr="002C4900" w:rsidRDefault="00C6025A">
      <w:pPr>
        <w:pStyle w:val="EndnoteText"/>
        <w:rPr>
          <w:rFonts w:ascii="Times New Roman" w:hAnsi="Times New Roman" w:cs="Times New Roman"/>
        </w:rPr>
      </w:pPr>
      <w:r w:rsidRPr="002C4900">
        <w:rPr>
          <w:rStyle w:val="EndnoteReference"/>
          <w:rFonts w:ascii="Times New Roman" w:hAnsi="Times New Roman" w:cs="Times New Roman"/>
        </w:rPr>
        <w:endnoteRef/>
      </w:r>
      <w:r w:rsidRPr="002C4900">
        <w:rPr>
          <w:rFonts w:ascii="Times New Roman" w:hAnsi="Times New Roman" w:cs="Times New Roman"/>
        </w:rPr>
        <w:t xml:space="preserve"> https://www.state.gov/r/pa/ei/biog/bureau/250943.htm</w:t>
      </w:r>
    </w:p>
  </w:endnote>
  <w:endnote w:id="7">
    <w:p w14:paraId="148139FE" w14:textId="77777777" w:rsidR="00C6025A" w:rsidRPr="002C4900" w:rsidRDefault="00C6025A">
      <w:pPr>
        <w:pStyle w:val="EndnoteText"/>
        <w:rPr>
          <w:rFonts w:ascii="Times New Roman" w:hAnsi="Times New Roman" w:cs="Times New Roman"/>
        </w:rPr>
      </w:pPr>
      <w:r w:rsidRPr="002C4900">
        <w:rPr>
          <w:rStyle w:val="EndnoteReference"/>
          <w:rFonts w:ascii="Times New Roman" w:hAnsi="Times New Roman" w:cs="Times New Roman"/>
        </w:rPr>
        <w:endnoteRef/>
      </w:r>
      <w:r w:rsidRPr="002C4900">
        <w:rPr>
          <w:rFonts w:ascii="Times New Roman" w:hAnsi="Times New Roman" w:cs="Times New Roman"/>
        </w:rPr>
        <w:t xml:space="preserve"> https://berkleycenter.georgetown.edu/people/frederick-barton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9C32" w14:textId="77777777" w:rsidR="00C6025A" w:rsidRDefault="00C6025A" w:rsidP="00C602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608F2" w14:textId="77777777" w:rsidR="00C6025A" w:rsidRDefault="00C6025A" w:rsidP="00C602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BB72" w14:textId="77777777" w:rsidR="00C6025A" w:rsidRDefault="00C6025A" w:rsidP="00C6025A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D827B18" wp14:editId="31B90756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BC513" w14:textId="77777777" w:rsidR="00C6025A" w:rsidRDefault="00C6025A" w:rsidP="00C6025A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022460BE" w14:textId="77777777" w:rsidR="00C6025A" w:rsidRPr="009630CC" w:rsidRDefault="00C6025A" w:rsidP="00C6025A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48A00FA5" w14:textId="77777777" w:rsidR="00C6025A" w:rsidRPr="009630CC" w:rsidRDefault="00C6025A" w:rsidP="00C6025A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3F8516BE" w14:textId="77777777" w:rsidR="00C6025A" w:rsidRPr="00B64A22" w:rsidRDefault="00C6025A" w:rsidP="00C6025A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8FB1" w14:textId="77777777" w:rsidR="00C6025A" w:rsidRPr="00B64A22" w:rsidRDefault="00C6025A" w:rsidP="00C6025A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B9544" w14:textId="77777777" w:rsidR="00C6025A" w:rsidRDefault="00C6025A" w:rsidP="000161D6">
      <w:pPr>
        <w:spacing w:after="0" w:line="240" w:lineRule="auto"/>
      </w:pPr>
      <w:r>
        <w:separator/>
      </w:r>
    </w:p>
  </w:footnote>
  <w:footnote w:type="continuationSeparator" w:id="0">
    <w:p w14:paraId="4A93D62F" w14:textId="77777777" w:rsidR="00C6025A" w:rsidRDefault="00C6025A" w:rsidP="0001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A2F3" w14:textId="5B841E53" w:rsidR="00C6025A" w:rsidRPr="00CA0F50" w:rsidRDefault="00D10EF7" w:rsidP="00C6025A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6025A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675E" w14:textId="77777777" w:rsidR="00C6025A" w:rsidRPr="00207063" w:rsidRDefault="00C6025A" w:rsidP="00C6025A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1AEA" w14:textId="77777777" w:rsidR="00C6025A" w:rsidRPr="004960D6" w:rsidRDefault="00C6025A" w:rsidP="00C6025A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C3F"/>
    <w:multiLevelType w:val="hybridMultilevel"/>
    <w:tmpl w:val="D3B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4B8C"/>
    <w:multiLevelType w:val="hybridMultilevel"/>
    <w:tmpl w:val="DCD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803"/>
    <w:multiLevelType w:val="hybridMultilevel"/>
    <w:tmpl w:val="DB84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141D"/>
    <w:multiLevelType w:val="hybridMultilevel"/>
    <w:tmpl w:val="84F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76"/>
    <w:rsid w:val="000161D6"/>
    <w:rsid w:val="002348CC"/>
    <w:rsid w:val="002C4900"/>
    <w:rsid w:val="002D55B6"/>
    <w:rsid w:val="005E09D1"/>
    <w:rsid w:val="006A460E"/>
    <w:rsid w:val="00985176"/>
    <w:rsid w:val="00996C6F"/>
    <w:rsid w:val="00C6025A"/>
    <w:rsid w:val="00D10EF7"/>
    <w:rsid w:val="00D26D3A"/>
    <w:rsid w:val="00D53906"/>
    <w:rsid w:val="00DB0453"/>
    <w:rsid w:val="00E32D12"/>
    <w:rsid w:val="00E5483F"/>
    <w:rsid w:val="00EF09E1"/>
    <w:rsid w:val="00F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E1D7D"/>
  <w15:docId w15:val="{CD755871-96FE-4920-9804-EC913451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517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8517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98517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985176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985176"/>
  </w:style>
  <w:style w:type="table" w:styleId="TableGrid">
    <w:name w:val="Table Grid"/>
    <w:aliases w:val="Clutch Table"/>
    <w:basedOn w:val="TableNormal"/>
    <w:uiPriority w:val="59"/>
    <w:rsid w:val="0098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985176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1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1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1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D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.bvdep.com/OrgChart.asp?curp=1&amp;LDIBookId=19&amp;LDISectionId=180&amp;LDIOrgId=231886" TargetMode="External"/><Relationship Id="rId1" Type="http://schemas.openxmlformats.org/officeDocument/2006/relationships/hyperlink" Target="https://www.state.gov/documents/organization/252179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4386-B84F-4591-A787-802EDB6C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2017-03-27T20:17:00Z</dcterms:created>
  <dcterms:modified xsi:type="dcterms:W3CDTF">2017-08-23T20:31:00Z</dcterms:modified>
</cp:coreProperties>
</file>