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7B39DD">
      <w:pPr>
        <w:pStyle w:val="Heading1"/>
        <w:pBdr>
          <w:bottom w:val="single" w:sz="4" w:space="0" w:color="003055" w:themeColor="text1"/>
        </w:pBdr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3006871B" w:rsidR="004B5D5B" w:rsidRPr="00D56177" w:rsidRDefault="00D17D20" w:rsidP="007B39DD">
      <w:pPr>
        <w:pStyle w:val="Heading1"/>
        <w:pBdr>
          <w:bottom w:val="single" w:sz="4" w:space="0" w:color="003055" w:themeColor="text1"/>
        </w:pBdr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director, office of personnel management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59B3D63F" w:rsidR="00347F97" w:rsidRPr="00D56177" w:rsidRDefault="00D17D20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Homeland Security and Government</w:t>
            </w:r>
            <w:r w:rsidR="00210FE6">
              <w:rPr>
                <w:rFonts w:asciiTheme="majorHAnsi" w:hAnsiTheme="majorHAnsi" w:cstheme="majorHAnsi"/>
                <w:bCs/>
              </w:rPr>
              <w:t>al</w:t>
            </w:r>
            <w:r>
              <w:rPr>
                <w:rFonts w:asciiTheme="majorHAnsi" w:hAnsiTheme="majorHAnsi" w:cstheme="majorHAnsi"/>
                <w:bCs/>
              </w:rPr>
              <w:t xml:space="preserve"> Affairs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09C98579" w:rsidR="00210FE6" w:rsidRPr="00D17D20" w:rsidRDefault="00210FE6" w:rsidP="00D17D20">
            <w:pPr>
              <w:rPr>
                <w:rFonts w:asciiTheme="majorHAnsi" w:hAnsiTheme="majorHAnsi" w:cstheme="majorHAnsi"/>
              </w:rPr>
            </w:pPr>
            <w:r w:rsidRPr="00173B6C">
              <w:rPr>
                <w:rFonts w:asciiTheme="majorHAnsi" w:hAnsiTheme="majorHAnsi" w:cstheme="majorHAnsi"/>
                <w:bCs/>
              </w:rPr>
              <w:t xml:space="preserve">Through its initiatives, </w:t>
            </w:r>
            <w:r w:rsidR="009E2B43">
              <w:rPr>
                <w:rFonts w:asciiTheme="majorHAnsi" w:hAnsiTheme="majorHAnsi" w:cstheme="majorHAnsi"/>
                <w:bCs/>
              </w:rPr>
              <w:t>programs</w:t>
            </w:r>
            <w:r w:rsidRPr="00173B6C">
              <w:rPr>
                <w:rFonts w:asciiTheme="majorHAnsi" w:hAnsiTheme="majorHAnsi" w:cstheme="majorHAnsi"/>
                <w:bCs/>
              </w:rPr>
              <w:t xml:space="preserve"> and materials, the Office of Personnel Management (OPM) provides the policy and regulatory framework for the federal government to r</w:t>
            </w:r>
            <w:r w:rsidR="002169C6">
              <w:rPr>
                <w:rFonts w:asciiTheme="majorHAnsi" w:hAnsiTheme="majorHAnsi" w:cstheme="majorHAnsi"/>
                <w:bCs/>
              </w:rPr>
              <w:t>ecruit and hire the best talent;</w:t>
            </w:r>
            <w:r w:rsidRPr="00173B6C">
              <w:rPr>
                <w:rFonts w:asciiTheme="majorHAnsi" w:hAnsiTheme="majorHAnsi" w:cstheme="majorHAnsi"/>
                <w:bCs/>
              </w:rPr>
              <w:t xml:space="preserve"> train and motivate employees to a</w:t>
            </w:r>
            <w:r w:rsidR="009E2B43">
              <w:rPr>
                <w:rFonts w:asciiTheme="majorHAnsi" w:hAnsiTheme="majorHAnsi" w:cstheme="majorHAnsi"/>
                <w:bCs/>
              </w:rPr>
              <w:t>chieve their greatest potential</w:t>
            </w:r>
            <w:r w:rsidR="002169C6">
              <w:rPr>
                <w:rFonts w:asciiTheme="majorHAnsi" w:hAnsiTheme="majorHAnsi" w:cstheme="majorHAnsi"/>
                <w:bCs/>
              </w:rPr>
              <w:t>;</w:t>
            </w:r>
            <w:r w:rsidRPr="00173B6C">
              <w:rPr>
                <w:rFonts w:asciiTheme="majorHAnsi" w:hAnsiTheme="majorHAnsi" w:cstheme="majorHAnsi"/>
                <w:bCs/>
              </w:rPr>
              <w:t xml:space="preserve"> and constantly promote an inclusive work force d</w:t>
            </w:r>
            <w:r w:rsidR="009E2B43">
              <w:rPr>
                <w:rFonts w:asciiTheme="majorHAnsi" w:hAnsiTheme="majorHAnsi" w:cstheme="majorHAnsi"/>
                <w:bCs/>
              </w:rPr>
              <w:t>efined by diverse perspectives.</w:t>
            </w:r>
            <w:r w:rsidRPr="00173B6C">
              <w:rPr>
                <w:rFonts w:asciiTheme="majorHAnsi" w:hAnsiTheme="majorHAnsi" w:cstheme="majorHAnsi"/>
                <w:bCs/>
              </w:rPr>
              <w:t xml:space="preserve"> OPM provi</w:t>
            </w:r>
            <w:r w:rsidR="009E2B43">
              <w:rPr>
                <w:rFonts w:asciiTheme="majorHAnsi" w:hAnsiTheme="majorHAnsi" w:cstheme="majorHAnsi"/>
                <w:bCs/>
              </w:rPr>
              <w:t>des human resources, leadership and support to federal agencies and helps the f</w:t>
            </w:r>
            <w:r w:rsidRPr="00173B6C">
              <w:rPr>
                <w:rFonts w:asciiTheme="majorHAnsi" w:hAnsiTheme="majorHAnsi" w:cstheme="majorHAnsi"/>
                <w:bCs/>
              </w:rPr>
              <w:t>ederal workforce achieve their aspirations as they serve the American people.</w:t>
            </w:r>
            <w:r w:rsidRPr="00173B6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55CCC179" w:rsidR="00661AE5" w:rsidRPr="00D56177" w:rsidRDefault="0018123C" w:rsidP="00210F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 the GPRA Modernization Act of 2010</w:t>
            </w:r>
            <w:r w:rsidR="009E2B43">
              <w:rPr>
                <w:rFonts w:asciiTheme="majorHAnsi" w:hAnsiTheme="majorHAnsi" w:cstheme="majorHAnsi"/>
              </w:rPr>
              <w:t>, the deputy director is also the chief operating o</w:t>
            </w:r>
            <w:r>
              <w:rPr>
                <w:rFonts w:asciiTheme="majorHAnsi" w:hAnsiTheme="majorHAnsi" w:cstheme="majorHAnsi"/>
              </w:rPr>
              <w:t>fficer of OPM.  He or she “shall also</w:t>
            </w:r>
            <w:r w:rsidR="009E2B43">
              <w:rPr>
                <w:rFonts w:asciiTheme="majorHAnsi" w:hAnsiTheme="majorHAnsi" w:cstheme="majorHAnsi"/>
              </w:rPr>
              <w:t xml:space="preserve"> perform such functions as the d</w:t>
            </w:r>
            <w:r>
              <w:rPr>
                <w:rFonts w:asciiTheme="majorHAnsi" w:hAnsiTheme="majorHAnsi" w:cstheme="majorHAnsi"/>
              </w:rPr>
              <w:t>irector may from time to time prescribe.</w:t>
            </w:r>
            <w:r w:rsidR="009E2B43">
              <w:rPr>
                <w:rFonts w:asciiTheme="majorHAnsi" w:hAnsiTheme="majorHAnsi" w:cstheme="majorHAnsi"/>
              </w:rPr>
              <w:t>” The deputy director is also the executive c</w:t>
            </w:r>
            <w:r>
              <w:rPr>
                <w:rFonts w:asciiTheme="majorHAnsi" w:hAnsiTheme="majorHAnsi" w:cstheme="majorHAnsi"/>
              </w:rPr>
              <w:t xml:space="preserve">hair of the Council of </w:t>
            </w:r>
            <w:r w:rsidR="009E2B43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Inspector</w:t>
            </w:r>
            <w:r w:rsidR="009E2B43">
              <w:rPr>
                <w:rFonts w:asciiTheme="majorHAnsi" w:hAnsiTheme="majorHAnsi" w:cstheme="majorHAnsi"/>
              </w:rPr>
              <w:t>s General</w:t>
            </w:r>
            <w:r>
              <w:rPr>
                <w:rFonts w:asciiTheme="majorHAnsi" w:hAnsiTheme="majorHAnsi" w:cstheme="majorHAnsi"/>
              </w:rPr>
              <w:t xml:space="preserve"> on Integrity and Efficiency.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03129EA7" w:rsidR="00661AE5" w:rsidRPr="00D56177" w:rsidRDefault="00F64C3E" w:rsidP="00AF5A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AF5A77">
              <w:rPr>
                <w:rFonts w:asciiTheme="majorHAnsi" w:hAnsiTheme="majorHAnsi" w:cstheme="majorHAnsi"/>
                <w:bCs/>
              </w:rPr>
              <w:t>165,300</w:t>
            </w:r>
            <w:r w:rsidR="00FE67B3">
              <w:rPr>
                <w:rFonts w:asciiTheme="majorHAnsi" w:hAnsiTheme="majorHAnsi" w:cstheme="majorHAnsi"/>
                <w:bCs/>
              </w:rPr>
              <w:t xml:space="preserve"> (5 U.S.C. § 5314)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3A7D96B7" w:rsidR="00D33A2A" w:rsidRPr="00D56177" w:rsidRDefault="00FE67B3" w:rsidP="004E1C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Director, Office of Personnel Management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3E18B776" w:rsidR="00D33A2A" w:rsidRPr="00D56177" w:rsidRDefault="009E2B43" w:rsidP="007B39DD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OPM’s fiscal 20</w:t>
            </w:r>
            <w:r w:rsidR="00210FE6" w:rsidRPr="00173B6C">
              <w:rPr>
                <w:rFonts w:asciiTheme="majorHAnsi" w:hAnsiTheme="majorHAnsi" w:cstheme="majorHAnsi"/>
              </w:rPr>
              <w:t>15 discretionary resources were $240.188 million.</w:t>
            </w:r>
            <w:r w:rsidR="00210FE6" w:rsidRPr="00173B6C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210FE6" w:rsidRPr="00173B6C">
              <w:rPr>
                <w:rFonts w:asciiTheme="majorHAnsi" w:hAnsiTheme="majorHAnsi" w:cstheme="majorHAnsi"/>
              </w:rPr>
              <w:t xml:space="preserve">  </w:t>
            </w:r>
            <w:r w:rsidR="00210FE6" w:rsidRPr="00173B6C">
              <w:rPr>
                <w:rFonts w:asciiTheme="majorHAnsi" w:hAnsiTheme="majorHAnsi" w:cstheme="majorHAnsi"/>
                <w:bCs/>
              </w:rPr>
              <w:t>In 2012, OPM had approx</w:t>
            </w:r>
            <w:r w:rsidR="00210FE6">
              <w:rPr>
                <w:rFonts w:asciiTheme="majorHAnsi" w:hAnsiTheme="majorHAnsi" w:cstheme="majorHAnsi"/>
                <w:bCs/>
              </w:rPr>
              <w:t>imately 10,000 individuals (</w:t>
            </w:r>
            <w:r>
              <w:rPr>
                <w:rFonts w:asciiTheme="majorHAnsi" w:hAnsiTheme="majorHAnsi" w:cstheme="majorHAnsi"/>
                <w:bCs/>
              </w:rPr>
              <w:t>full-time equivalents</w:t>
            </w:r>
            <w:r w:rsidR="00210FE6" w:rsidRPr="00173B6C">
              <w:rPr>
                <w:rFonts w:asciiTheme="majorHAnsi" w:hAnsiTheme="majorHAnsi" w:cstheme="majorHAnsi"/>
                <w:bCs/>
              </w:rPr>
              <w:t xml:space="preserve"> and contractors) across 18 departments serving the </w:t>
            </w:r>
            <w:r w:rsidR="007B39DD" w:rsidRPr="0068013C">
              <w:rPr>
                <w:rFonts w:asciiTheme="majorHAnsi" w:hAnsiTheme="majorHAnsi" w:cstheme="majorHAnsi"/>
                <w:bCs/>
              </w:rPr>
              <w:t>2.1</w:t>
            </w:r>
            <w:r w:rsidR="00210FE6" w:rsidRPr="0068013C">
              <w:rPr>
                <w:rFonts w:asciiTheme="majorHAnsi" w:hAnsiTheme="majorHAnsi" w:cstheme="majorHAnsi"/>
                <w:bCs/>
              </w:rPr>
              <w:t xml:space="preserve"> million</w:t>
            </w:r>
            <w:r w:rsidR="00210FE6" w:rsidRPr="00173B6C">
              <w:rPr>
                <w:rFonts w:asciiTheme="majorHAnsi" w:hAnsiTheme="majorHAnsi" w:cstheme="majorHAnsi"/>
                <w:bCs/>
              </w:rPr>
              <w:t xml:space="preserve"> civilian employee workforce.</w:t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35E09C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F808" w14:textId="600B7406" w:rsidR="00CD7383" w:rsidRDefault="00CD7383" w:rsidP="00CD738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CD7383">
              <w:rPr>
                <w:rFonts w:asciiTheme="majorHAnsi" w:hAnsiTheme="majorHAnsi" w:cstheme="majorHAnsi"/>
              </w:rPr>
              <w:t>Serve</w:t>
            </w:r>
            <w:r>
              <w:rPr>
                <w:rFonts w:asciiTheme="majorHAnsi" w:hAnsiTheme="majorHAnsi" w:cstheme="majorHAnsi"/>
              </w:rPr>
              <w:t>s</w:t>
            </w:r>
            <w:r w:rsidRPr="00CD7383">
              <w:rPr>
                <w:rFonts w:asciiTheme="majorHAnsi" w:hAnsiTheme="majorHAnsi" w:cstheme="majorHAnsi"/>
              </w:rPr>
              <w:t xml:space="preserve"> as the chief operating officer for the Office of Personnel Management, and lead</w:t>
            </w:r>
            <w:r>
              <w:rPr>
                <w:rFonts w:asciiTheme="majorHAnsi" w:hAnsiTheme="majorHAnsi" w:cstheme="majorHAnsi"/>
              </w:rPr>
              <w:t>s</w:t>
            </w:r>
            <w:r w:rsidRPr="00CD7383">
              <w:rPr>
                <w:rFonts w:asciiTheme="majorHAnsi" w:hAnsiTheme="majorHAnsi" w:cstheme="majorHAnsi"/>
              </w:rPr>
              <w:t xml:space="preserve"> its internal operations to support the director’s strategic workforce efforts</w:t>
            </w:r>
          </w:p>
          <w:p w14:paraId="56740D88" w14:textId="19E2B112" w:rsidR="00064747" w:rsidRDefault="0006474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210FE6">
              <w:rPr>
                <w:rFonts w:asciiTheme="majorHAnsi" w:hAnsiTheme="majorHAnsi" w:cstheme="majorHAnsi"/>
              </w:rPr>
              <w:t>Ensure</w:t>
            </w:r>
            <w:r w:rsidR="00210FE6">
              <w:rPr>
                <w:rFonts w:asciiTheme="majorHAnsi" w:hAnsiTheme="majorHAnsi" w:cstheme="majorHAnsi"/>
              </w:rPr>
              <w:t>s</w:t>
            </w:r>
            <w:r w:rsidRPr="00210FE6">
              <w:rPr>
                <w:rFonts w:asciiTheme="majorHAnsi" w:hAnsiTheme="majorHAnsi" w:cstheme="majorHAnsi"/>
              </w:rPr>
              <w:t xml:space="preserve"> the continuous day-to-day functions of </w:t>
            </w:r>
            <w:r w:rsidR="009E2B43">
              <w:rPr>
                <w:rFonts w:asciiTheme="majorHAnsi" w:hAnsiTheme="majorHAnsi" w:cstheme="majorHAnsi"/>
              </w:rPr>
              <w:t>OPM</w:t>
            </w:r>
            <w:r w:rsidRPr="00210FE6">
              <w:rPr>
                <w:rFonts w:asciiTheme="majorHAnsi" w:hAnsiTheme="majorHAnsi" w:cstheme="majorHAnsi"/>
              </w:rPr>
              <w:t xml:space="preserve"> as an operations executive.</w:t>
            </w:r>
            <w:r w:rsidR="009E2B43">
              <w:rPr>
                <w:rFonts w:asciiTheme="majorHAnsi" w:hAnsiTheme="majorHAnsi" w:cstheme="majorHAnsi"/>
              </w:rPr>
              <w:t xml:space="preserve"> </w:t>
            </w:r>
            <w:r w:rsidR="0018123C">
              <w:rPr>
                <w:rFonts w:asciiTheme="majorHAnsi" w:hAnsiTheme="majorHAnsi" w:cstheme="majorHAnsi"/>
              </w:rPr>
              <w:t xml:space="preserve">These include substantial retirement, health, </w:t>
            </w:r>
            <w:proofErr w:type="gramStart"/>
            <w:r w:rsidR="0018123C">
              <w:rPr>
                <w:rFonts w:asciiTheme="majorHAnsi" w:hAnsiTheme="majorHAnsi" w:cstheme="majorHAnsi"/>
              </w:rPr>
              <w:t>security</w:t>
            </w:r>
            <w:proofErr w:type="gramEnd"/>
            <w:r w:rsidR="0018123C">
              <w:rPr>
                <w:rFonts w:asciiTheme="majorHAnsi" w:hAnsiTheme="majorHAnsi" w:cstheme="majorHAnsi"/>
              </w:rPr>
              <w:t xml:space="preserve"> and enforcement responsibilities.</w:t>
            </w:r>
          </w:p>
          <w:p w14:paraId="4347F86D" w14:textId="7D537CEA" w:rsidR="009E2B43" w:rsidRPr="00210FE6" w:rsidRDefault="009E2B43" w:rsidP="00E86A7B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Represents t</w:t>
            </w:r>
            <w:r w:rsidR="00E86A7B">
              <w:rPr>
                <w:rFonts w:asciiTheme="majorHAnsi" w:hAnsiTheme="majorHAnsi" w:cstheme="majorHAnsi"/>
              </w:rPr>
              <w:t>he d</w:t>
            </w:r>
            <w:r w:rsidR="003046D1">
              <w:rPr>
                <w:rFonts w:asciiTheme="majorHAnsi" w:hAnsiTheme="majorHAnsi" w:cstheme="majorHAnsi"/>
              </w:rPr>
              <w:t xml:space="preserve">irector of OPM when absent, for example, </w:t>
            </w:r>
            <w:r w:rsidR="00E86A7B">
              <w:rPr>
                <w:rFonts w:asciiTheme="majorHAnsi" w:hAnsiTheme="majorHAnsi" w:cstheme="majorHAnsi"/>
              </w:rPr>
              <w:t>by</w:t>
            </w:r>
            <w:r w:rsidR="003046D1">
              <w:rPr>
                <w:rFonts w:asciiTheme="majorHAnsi" w:hAnsiTheme="majorHAnsi" w:cstheme="majorHAnsi"/>
              </w:rPr>
              <w:t xml:space="preserve"> testifying before Congress or attending </w:t>
            </w:r>
            <w:r w:rsidRPr="009E2B43">
              <w:rPr>
                <w:rFonts w:asciiTheme="majorHAnsi" w:hAnsiTheme="majorHAnsi" w:cstheme="majorHAnsi"/>
              </w:rPr>
              <w:t>OPM com</w:t>
            </w:r>
            <w:r w:rsidR="003046D1">
              <w:rPr>
                <w:rFonts w:asciiTheme="majorHAnsi" w:hAnsiTheme="majorHAnsi" w:cstheme="majorHAnsi"/>
              </w:rPr>
              <w:t>mittees and working groups.</w:t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50FC3D22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672D7EA7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9E2B4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876" w14:textId="036E89D5" w:rsidR="00661AE5" w:rsidRPr="00210FE6" w:rsidRDefault="00A625E2" w:rsidP="00210FE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  <w:r w:rsidR="00064747" w:rsidRPr="00210FE6">
              <w:rPr>
                <w:rFonts w:asciiTheme="majorHAnsi" w:hAnsiTheme="majorHAnsi" w:cstheme="majorHAnsi"/>
                <w:bCs/>
              </w:rPr>
              <w:t>xecutive administrative and operations experience, w</w:t>
            </w:r>
            <w:r w:rsidR="00210FE6">
              <w:rPr>
                <w:rFonts w:asciiTheme="majorHAnsi" w:hAnsiTheme="majorHAnsi" w:cstheme="majorHAnsi"/>
                <w:bCs/>
              </w:rPr>
              <w:t>hether public or private sector</w:t>
            </w:r>
          </w:p>
          <w:p w14:paraId="47D8CBF3" w14:textId="1BF3EF2F" w:rsidR="00210FE6" w:rsidRPr="00210FE6" w:rsidRDefault="00A625E2" w:rsidP="009E2B4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  <w:r w:rsidR="00064747" w:rsidRPr="00210FE6">
              <w:rPr>
                <w:rFonts w:asciiTheme="majorHAnsi" w:hAnsiTheme="majorHAnsi" w:cstheme="majorHAnsi"/>
                <w:bCs/>
              </w:rPr>
              <w:t>xtensive history of inter-agency cooperation and communication in order to manage OPM’s interactions with the federal gove</w:t>
            </w:r>
            <w:r w:rsidR="00210FE6">
              <w:rPr>
                <w:rFonts w:asciiTheme="majorHAnsi" w:hAnsiTheme="majorHAnsi" w:cstheme="majorHAnsi"/>
                <w:bCs/>
              </w:rPr>
              <w:t>rnment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0CFCA548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A8DC" w14:textId="3CBA8608" w:rsidR="00661AE5" w:rsidRPr="00210FE6" w:rsidRDefault="00A625E2" w:rsidP="00210FE6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="00210FE6">
              <w:rPr>
                <w:rFonts w:asciiTheme="majorHAnsi" w:hAnsiTheme="majorHAnsi" w:cstheme="majorHAnsi"/>
                <w:bCs/>
              </w:rPr>
              <w:t>trong interpersonal and communication skills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20A70DFB" w:rsidR="00BE379B" w:rsidRPr="00D56177" w:rsidRDefault="003421E1" w:rsidP="002854D5">
            <w:pPr>
              <w:rPr>
                <w:rFonts w:asciiTheme="majorHAnsi" w:hAnsiTheme="majorHAnsi" w:cstheme="majorHAnsi"/>
              </w:rPr>
            </w:pPr>
            <w:r w:rsidRPr="003421E1">
              <w:rPr>
                <w:rFonts w:asciiTheme="majorHAnsi" w:hAnsiTheme="majorHAnsi" w:cstheme="majorHAnsi"/>
              </w:rPr>
              <w:t>Christine Griffin (</w:t>
            </w:r>
            <w:r w:rsidR="00E86A7B">
              <w:rPr>
                <w:rFonts w:asciiTheme="majorHAnsi" w:hAnsiTheme="majorHAnsi" w:cstheme="majorHAnsi"/>
              </w:rPr>
              <w:t xml:space="preserve">2010 to </w:t>
            </w:r>
            <w:r w:rsidR="002854D5">
              <w:rPr>
                <w:rFonts w:asciiTheme="majorHAnsi" w:hAnsiTheme="majorHAnsi" w:cstheme="majorHAnsi"/>
              </w:rPr>
              <w:t>2017</w:t>
            </w:r>
            <w:r>
              <w:rPr>
                <w:rFonts w:asciiTheme="majorHAnsi" w:hAnsiTheme="majorHAnsi" w:cstheme="majorHAnsi"/>
              </w:rPr>
              <w:t xml:space="preserve">) – Commissioner, U.S. Equal Opportunity Commission; Executive Director, Disability Law Center in Boston, </w:t>
            </w:r>
            <w:r w:rsidR="00E86A7B">
              <w:rPr>
                <w:rFonts w:asciiTheme="majorHAnsi" w:hAnsiTheme="majorHAnsi" w:cstheme="majorHAnsi"/>
              </w:rPr>
              <w:t>Mass.</w:t>
            </w:r>
            <w:r>
              <w:rPr>
                <w:rFonts w:asciiTheme="majorHAnsi" w:hAnsiTheme="majorHAnsi" w:cstheme="majorHAnsi"/>
              </w:rPr>
              <w:t>; Attorney Advisor to</w:t>
            </w:r>
            <w:r w:rsidR="00E86A7B">
              <w:rPr>
                <w:rFonts w:asciiTheme="majorHAnsi" w:hAnsiTheme="majorHAnsi" w:cstheme="majorHAnsi"/>
              </w:rPr>
              <w:t xml:space="preserve"> former EEOC Chair Paul </w:t>
            </w:r>
            <w:proofErr w:type="spellStart"/>
            <w:r w:rsidR="00E86A7B">
              <w:rPr>
                <w:rFonts w:asciiTheme="majorHAnsi" w:hAnsiTheme="majorHAnsi" w:cstheme="majorHAnsi"/>
              </w:rPr>
              <w:t>Igasaki</w:t>
            </w:r>
            <w:proofErr w:type="spellEnd"/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74458D2B" w:rsidR="00BE379B" w:rsidRPr="00D56177" w:rsidRDefault="003421E1" w:rsidP="00D17D20">
            <w:pPr>
              <w:rPr>
                <w:rFonts w:asciiTheme="majorHAnsi" w:hAnsiTheme="majorHAnsi" w:cstheme="majorHAnsi"/>
              </w:rPr>
            </w:pPr>
            <w:r w:rsidRPr="003421E1">
              <w:rPr>
                <w:rFonts w:asciiTheme="majorHAnsi" w:hAnsiTheme="majorHAnsi" w:cstheme="majorHAnsi"/>
              </w:rPr>
              <w:t>Howard Weizmann (</w:t>
            </w:r>
            <w:r>
              <w:rPr>
                <w:rFonts w:asciiTheme="majorHAnsi" w:hAnsiTheme="majorHAnsi" w:cstheme="majorHAnsi"/>
              </w:rPr>
              <w:t xml:space="preserve">2007 to 2009) – Chairman, U.S. Postal Regulatory Commission; President of the Private Sector Council, Partnership for Public Service; Senior Vice President for European Business Operations and Human Resources, </w:t>
            </w:r>
            <w:proofErr w:type="spellStart"/>
            <w:r>
              <w:rPr>
                <w:rFonts w:asciiTheme="majorHAnsi" w:hAnsiTheme="majorHAnsi" w:cstheme="majorHAnsi"/>
              </w:rPr>
              <w:t>Digex</w:t>
            </w:r>
            <w:proofErr w:type="spellEnd"/>
            <w:r>
              <w:rPr>
                <w:rFonts w:asciiTheme="majorHAnsi" w:hAnsiTheme="majorHAnsi" w:cstheme="majorHAnsi"/>
              </w:rPr>
              <w:t>, Inc.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14D0D60E" w:rsidR="00661AE5" w:rsidRPr="00D56177" w:rsidRDefault="003421E1" w:rsidP="003421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 Blair (</w:t>
            </w:r>
            <w:r w:rsidR="00CD692B">
              <w:rPr>
                <w:rFonts w:asciiTheme="majorHAnsi" w:hAnsiTheme="majorHAnsi" w:cstheme="majorHAnsi"/>
              </w:rPr>
              <w:t>2002 to 2006) – Acting Directo</w:t>
            </w:r>
            <w:r w:rsidR="005743EE">
              <w:rPr>
                <w:rFonts w:asciiTheme="majorHAnsi" w:hAnsiTheme="majorHAnsi" w:cstheme="majorHAnsi"/>
              </w:rPr>
              <w:t>r of OPM; Senior Counsel to Senator</w:t>
            </w:r>
            <w:r w:rsidR="00CD692B">
              <w:rPr>
                <w:rFonts w:asciiTheme="majorHAnsi" w:hAnsiTheme="majorHAnsi" w:cstheme="majorHAnsi"/>
              </w:rPr>
              <w:t xml:space="preserve"> Fred Thompson; Staff Director, House of Representatives Subcommittee on the Postal Service; Minority General Counsel, House of Representatives Committee on th</w:t>
            </w:r>
            <w:r w:rsidR="005743EE">
              <w:rPr>
                <w:rFonts w:asciiTheme="majorHAnsi" w:hAnsiTheme="majorHAnsi" w:cstheme="majorHAnsi"/>
              </w:rPr>
              <w:t>e Post Office and Civil Service</w:t>
            </w:r>
            <w:r w:rsidR="00CD692B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r w:rsidR="00CD692B">
              <w:rPr>
                <w:rFonts w:asciiTheme="majorHAnsi" w:hAnsiTheme="majorHAnsi" w:cstheme="majorHAnsi"/>
              </w:rPr>
              <w:t xml:space="preserve"> </w:t>
            </w:r>
          </w:p>
        </w:tc>
      </w:tr>
      <w:bookmarkEnd w:id="0"/>
    </w:tbl>
    <w:p w14:paraId="52DF2DCD" w14:textId="2AB097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B322" w14:textId="77777777" w:rsidR="009D7FA7" w:rsidRDefault="009D7FA7" w:rsidP="001E22F1">
      <w:r>
        <w:separator/>
      </w:r>
    </w:p>
  </w:endnote>
  <w:endnote w:type="continuationSeparator" w:id="0">
    <w:p w14:paraId="5C9E284D" w14:textId="77777777" w:rsidR="009D7FA7" w:rsidRDefault="009D7FA7" w:rsidP="001E22F1">
      <w:r>
        <w:continuationSeparator/>
      </w:r>
    </w:p>
  </w:endnote>
  <w:endnote w:id="1">
    <w:p w14:paraId="04FB7E3B" w14:textId="77777777" w:rsidR="00210FE6" w:rsidRPr="006C7E6E" w:rsidRDefault="00210FE6" w:rsidP="00210FE6">
      <w:pPr>
        <w:pStyle w:val="EndnoteText"/>
        <w:rPr>
          <w:color w:val="00477E" w:themeColor="text1" w:themeTint="E6"/>
        </w:rPr>
      </w:pPr>
      <w:r w:rsidRPr="006C7E6E">
        <w:rPr>
          <w:rStyle w:val="EndnoteReference"/>
          <w:color w:val="00477E" w:themeColor="text1" w:themeTint="E6"/>
        </w:rPr>
        <w:endnoteRef/>
      </w:r>
      <w:r w:rsidRPr="006C7E6E">
        <w:rPr>
          <w:color w:val="00477E" w:themeColor="text1" w:themeTint="E6"/>
        </w:rPr>
        <w:t xml:space="preserve"> </w:t>
      </w:r>
      <w:hyperlink r:id="rId1" w:history="1">
        <w:r w:rsidRPr="006C7E6E">
          <w:rPr>
            <w:rStyle w:val="Hyperlink"/>
            <w:color w:val="00477E" w:themeColor="text1" w:themeTint="E6"/>
          </w:rPr>
          <w:t>https://www.opm.gov/about-us/our-mission-role-history/what-we-do/</w:t>
        </w:r>
      </w:hyperlink>
      <w:r w:rsidRPr="006C7E6E">
        <w:rPr>
          <w:color w:val="00477E" w:themeColor="text1" w:themeTint="E6"/>
        </w:rPr>
        <w:t xml:space="preserve"> </w:t>
      </w:r>
    </w:p>
  </w:endnote>
  <w:endnote w:id="2">
    <w:p w14:paraId="4C05AD51" w14:textId="3A7FC39D" w:rsidR="00F64C3E" w:rsidRDefault="00F64C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F5A7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14:paraId="4AAB955F" w14:textId="77777777" w:rsidR="00210FE6" w:rsidRDefault="00210FE6" w:rsidP="00210FE6">
      <w:pPr>
        <w:pStyle w:val="EndnoteText"/>
      </w:pPr>
      <w:r w:rsidRPr="006C7E6E">
        <w:rPr>
          <w:rStyle w:val="EndnoteReference"/>
          <w:color w:val="00477E" w:themeColor="text1" w:themeTint="E6"/>
        </w:rPr>
        <w:endnoteRef/>
      </w:r>
      <w:r w:rsidRPr="006C7E6E">
        <w:rPr>
          <w:color w:val="00477E" w:themeColor="text1" w:themeTint="E6"/>
        </w:rPr>
        <w:t xml:space="preserve"> </w:t>
      </w:r>
      <w:hyperlink r:id="rId2" w:history="1">
        <w:r w:rsidRPr="006C7E6E">
          <w:rPr>
            <w:rStyle w:val="Hyperlink"/>
            <w:color w:val="00477E" w:themeColor="text1" w:themeTint="E6"/>
          </w:rPr>
          <w:t>https://www.opm.gov/about-us/budget-performance/budgets/congressional-budget-justification-fy2017.pdf</w:t>
        </w:r>
      </w:hyperlink>
      <w:r w:rsidRPr="006C7E6E">
        <w:rPr>
          <w:color w:val="00477E" w:themeColor="text1" w:themeTint="E6"/>
        </w:rPr>
        <w:t>.  While appropriated funds are ~$240 million, the overall budget of OPM is ~$2</w:t>
      </w:r>
      <w:r>
        <w:rPr>
          <w:color w:val="00477E" w:themeColor="text1" w:themeTint="E6"/>
        </w:rPr>
        <w:t>+</w:t>
      </w:r>
      <w:r w:rsidRPr="006C7E6E">
        <w:rPr>
          <w:color w:val="00477E" w:themeColor="text1" w:themeTint="E6"/>
        </w:rPr>
        <w:t xml:space="preserve"> billion, as many functions performed by OPM (e.g., background checks) </w:t>
      </w:r>
      <w:r>
        <w:rPr>
          <w:color w:val="00477E" w:themeColor="text1" w:themeTint="E6"/>
        </w:rPr>
        <w:t>are fee-for-</w:t>
      </w:r>
      <w:r w:rsidRPr="006C7E6E">
        <w:rPr>
          <w:color w:val="00477E" w:themeColor="text1" w:themeTint="E6"/>
        </w:rPr>
        <w:t>service.</w:t>
      </w:r>
    </w:p>
  </w:endnote>
  <w:endnote w:id="4">
    <w:p w14:paraId="2F815BD2" w14:textId="0C811F9A" w:rsidR="003421E1" w:rsidRDefault="003421E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C5F2C">
          <w:rPr>
            <w:rStyle w:val="Hyperlink"/>
          </w:rPr>
          <w:t>https://www.eeoc.gov/eeoc/history/45th/ada20/griffin.cfm</w:t>
        </w:r>
      </w:hyperlink>
    </w:p>
  </w:endnote>
  <w:endnote w:id="5">
    <w:p w14:paraId="699D751A" w14:textId="06BFF0AF" w:rsidR="003421E1" w:rsidRDefault="003421E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C5F2C">
          <w:rPr>
            <w:rStyle w:val="Hyperlink"/>
          </w:rPr>
          <w:t>https://www.opm.gov/news/releases/2007/07/senate-confirms-howard-weizmann-as-new-deputy-director-for-opm/</w:t>
        </w:r>
      </w:hyperlink>
    </w:p>
  </w:endnote>
  <w:endnote w:id="6">
    <w:p w14:paraId="4A30F448" w14:textId="0606250B" w:rsidR="00CD692B" w:rsidRDefault="00CD692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FC5F2C">
          <w:rPr>
            <w:rStyle w:val="Hyperlink"/>
          </w:rPr>
          <w:t>http://www.napawash.org/about-us/our-team/439-dan-gregory-blair.html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8D09" w14:textId="77777777" w:rsidR="009D7FA7" w:rsidRDefault="009D7FA7" w:rsidP="001E22F1">
      <w:r>
        <w:separator/>
      </w:r>
    </w:p>
  </w:footnote>
  <w:footnote w:type="continuationSeparator" w:id="0">
    <w:p w14:paraId="06CF94AF" w14:textId="77777777" w:rsidR="009D7FA7" w:rsidRDefault="009D7FA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AF5A7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D11"/>
    <w:multiLevelType w:val="hybridMultilevel"/>
    <w:tmpl w:val="FB44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59A"/>
    <w:multiLevelType w:val="hybridMultilevel"/>
    <w:tmpl w:val="CF90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572CA"/>
    <w:multiLevelType w:val="hybridMultilevel"/>
    <w:tmpl w:val="1D9661DC"/>
    <w:lvl w:ilvl="0" w:tplc="1C18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7FB8"/>
    <w:multiLevelType w:val="hybridMultilevel"/>
    <w:tmpl w:val="E60E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3"/>
  </w:num>
  <w:num w:numId="19">
    <w:abstractNumId w:val="9"/>
  </w:num>
  <w:num w:numId="20">
    <w:abstractNumId w:val="25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20"/>
  </w:num>
  <w:num w:numId="28">
    <w:abstractNumId w:val="17"/>
  </w:num>
  <w:num w:numId="29">
    <w:abstractNumId w:val="21"/>
  </w:num>
  <w:num w:numId="30">
    <w:abstractNumId w:val="29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7"/>
  </w:num>
  <w:num w:numId="36">
    <w:abstractNumId w:val="0"/>
  </w:num>
  <w:num w:numId="37">
    <w:abstractNumId w:val="18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4747"/>
    <w:rsid w:val="0006648F"/>
    <w:rsid w:val="00073701"/>
    <w:rsid w:val="0007480D"/>
    <w:rsid w:val="00076645"/>
    <w:rsid w:val="00080E76"/>
    <w:rsid w:val="000846D6"/>
    <w:rsid w:val="0008706F"/>
    <w:rsid w:val="00087A28"/>
    <w:rsid w:val="00090E92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E7BC0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123C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5BE"/>
    <w:rsid w:val="001C5B3D"/>
    <w:rsid w:val="001D0348"/>
    <w:rsid w:val="001D1BB7"/>
    <w:rsid w:val="001D36AA"/>
    <w:rsid w:val="001E22F1"/>
    <w:rsid w:val="001E2508"/>
    <w:rsid w:val="001E486F"/>
    <w:rsid w:val="001E5266"/>
    <w:rsid w:val="001F4645"/>
    <w:rsid w:val="00205DE4"/>
    <w:rsid w:val="00207063"/>
    <w:rsid w:val="00210FE6"/>
    <w:rsid w:val="002169C6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54D5"/>
    <w:rsid w:val="00292D76"/>
    <w:rsid w:val="00297C2A"/>
    <w:rsid w:val="002A71CC"/>
    <w:rsid w:val="002B3AC4"/>
    <w:rsid w:val="002B44C0"/>
    <w:rsid w:val="002B59FC"/>
    <w:rsid w:val="002C0B6F"/>
    <w:rsid w:val="002C76AB"/>
    <w:rsid w:val="002C7A86"/>
    <w:rsid w:val="002D28DF"/>
    <w:rsid w:val="002E0713"/>
    <w:rsid w:val="002F204D"/>
    <w:rsid w:val="002F2F32"/>
    <w:rsid w:val="0030193E"/>
    <w:rsid w:val="003046D1"/>
    <w:rsid w:val="00321F38"/>
    <w:rsid w:val="00330ACB"/>
    <w:rsid w:val="00331394"/>
    <w:rsid w:val="003317A8"/>
    <w:rsid w:val="003353C5"/>
    <w:rsid w:val="003421E1"/>
    <w:rsid w:val="003454E5"/>
    <w:rsid w:val="00347F97"/>
    <w:rsid w:val="00352240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4B60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3EE"/>
    <w:rsid w:val="00577F0A"/>
    <w:rsid w:val="0058599E"/>
    <w:rsid w:val="005B0C70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013C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62481"/>
    <w:rsid w:val="0076444F"/>
    <w:rsid w:val="007872BC"/>
    <w:rsid w:val="007A377A"/>
    <w:rsid w:val="007B1D32"/>
    <w:rsid w:val="007B39DD"/>
    <w:rsid w:val="007B6E3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806C5D"/>
    <w:rsid w:val="00820463"/>
    <w:rsid w:val="00821486"/>
    <w:rsid w:val="008271A8"/>
    <w:rsid w:val="00833527"/>
    <w:rsid w:val="00836810"/>
    <w:rsid w:val="00843FE7"/>
    <w:rsid w:val="00845BCF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B7CFE"/>
    <w:rsid w:val="008C5194"/>
    <w:rsid w:val="008D30E6"/>
    <w:rsid w:val="008D3564"/>
    <w:rsid w:val="00901824"/>
    <w:rsid w:val="009069C2"/>
    <w:rsid w:val="009140FD"/>
    <w:rsid w:val="009241DC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7FA7"/>
    <w:rsid w:val="009E2B4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13E2"/>
    <w:rsid w:val="00A46A0C"/>
    <w:rsid w:val="00A54EF3"/>
    <w:rsid w:val="00A625E2"/>
    <w:rsid w:val="00A653B2"/>
    <w:rsid w:val="00A869D4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5A77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CD692B"/>
    <w:rsid w:val="00CD7383"/>
    <w:rsid w:val="00D00C94"/>
    <w:rsid w:val="00D05ABC"/>
    <w:rsid w:val="00D1037C"/>
    <w:rsid w:val="00D137F7"/>
    <w:rsid w:val="00D1473D"/>
    <w:rsid w:val="00D17D20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6A7B"/>
    <w:rsid w:val="00E90C00"/>
    <w:rsid w:val="00EB20A7"/>
    <w:rsid w:val="00EC2402"/>
    <w:rsid w:val="00EC429B"/>
    <w:rsid w:val="00EC4FDB"/>
    <w:rsid w:val="00ED52F5"/>
    <w:rsid w:val="00ED5B9E"/>
    <w:rsid w:val="00EF11FF"/>
    <w:rsid w:val="00EF6FAB"/>
    <w:rsid w:val="00F1221F"/>
    <w:rsid w:val="00F24186"/>
    <w:rsid w:val="00F24A4E"/>
    <w:rsid w:val="00F25BCA"/>
    <w:rsid w:val="00F316F1"/>
    <w:rsid w:val="00F436CE"/>
    <w:rsid w:val="00F51D84"/>
    <w:rsid w:val="00F62141"/>
    <w:rsid w:val="00F64C3E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oc.gov/eeoc/history/45th/ada20/griffin.cfm" TargetMode="External"/><Relationship Id="rId2" Type="http://schemas.openxmlformats.org/officeDocument/2006/relationships/hyperlink" Target="https://www.opm.gov/about-us/budget-performance/budgets/congressional-budget-justification-fy2017.pdf" TargetMode="External"/><Relationship Id="rId1" Type="http://schemas.openxmlformats.org/officeDocument/2006/relationships/hyperlink" Target="https://www.opm.gov/about-us/our-mission-role-history/what-we-do/" TargetMode="External"/><Relationship Id="rId5" Type="http://schemas.openxmlformats.org/officeDocument/2006/relationships/hyperlink" Target="http://www.napawash.org/about-us/our-team/439-dan-gregory-blair.html" TargetMode="External"/><Relationship Id="rId4" Type="http://schemas.openxmlformats.org/officeDocument/2006/relationships/hyperlink" Target="https://www.opm.gov/news/releases/2007/07/senate-confirms-howard-weizmann-as-new-deputy-director-for-op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E15A6"/>
    <w:rsid w:val="005B3992"/>
    <w:rsid w:val="005E3561"/>
    <w:rsid w:val="00672DF4"/>
    <w:rsid w:val="007A30C1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83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CA6AD-15A6-443D-8491-C18705BF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8</cp:revision>
  <cp:lastPrinted>2016-07-12T18:00:00Z</cp:lastPrinted>
  <dcterms:created xsi:type="dcterms:W3CDTF">2016-11-02T13:31:00Z</dcterms:created>
  <dcterms:modified xsi:type="dcterms:W3CDTF">2017-08-23T20:24:00Z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