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0CC2" w14:textId="1C83FB81" w:rsidR="0017272D" w:rsidRPr="00013B25" w:rsidRDefault="0017272D" w:rsidP="127A5945">
      <w:pPr>
        <w:pStyle w:val="Heading1"/>
        <w:spacing w:after="0"/>
        <w:rPr>
          <w:rFonts w:asciiTheme="majorHAnsi" w:hAnsiTheme="majorHAnsi"/>
          <w:b w:val="0"/>
          <w:bCs w:val="0"/>
          <w:color w:val="003055" w:themeColor="text1"/>
          <w:sz w:val="20"/>
          <w:szCs w:val="20"/>
        </w:rPr>
      </w:pPr>
      <w:bookmarkStart w:id="0" w:name="_Toc143586611"/>
      <w:r w:rsidRPr="00013B25" w:rsidDel="0017272D">
        <w:rPr>
          <w:rFonts w:asciiTheme="majorHAnsi" w:hAnsiTheme="majorHAnsi"/>
          <w:b w:val="0"/>
          <w:bCs w:val="0"/>
          <w:color w:val="003055" w:themeColor="text1"/>
          <w:sz w:val="20"/>
          <w:szCs w:val="20"/>
        </w:rPr>
        <w:t>POSITION DESCRIPTION</w:t>
      </w:r>
    </w:p>
    <w:p w14:paraId="1F882449" w14:textId="30C0FB69" w:rsidR="00661AE5" w:rsidRPr="008251B4" w:rsidRDefault="00AE6DD3" w:rsidP="008251B4">
      <w:pPr>
        <w:pStyle w:val="Heading1"/>
        <w:spacing w:before="120"/>
        <w:rPr>
          <w:rFonts w:eastAsia="Arial" w:cs="Arial"/>
          <w:b w:val="0"/>
          <w:bCs w:val="0"/>
          <w:color w:val="003055" w:themeColor="text1"/>
          <w:sz w:val="20"/>
          <w:szCs w:val="20"/>
        </w:rPr>
      </w:pPr>
      <w:r w:rsidRPr="00013B25" w:rsidDel="00AE6DD3">
        <w:rPr>
          <w:rFonts w:asciiTheme="majorHAnsi" w:hAnsiTheme="majorHAnsi"/>
          <w:color w:val="003055" w:themeColor="text1"/>
        </w:rPr>
        <w:t>Director</w:t>
      </w:r>
      <w:r w:rsidRPr="00013B25" w:rsidDel="00D56177">
        <w:rPr>
          <w:rFonts w:asciiTheme="majorHAnsi" w:hAnsiTheme="majorHAnsi"/>
          <w:color w:val="003055" w:themeColor="text1"/>
        </w:rPr>
        <w:t xml:space="preserve">, </w:t>
      </w:r>
      <w:r w:rsidRPr="00013B25" w:rsidDel="00AE6DD3">
        <w:rPr>
          <w:rFonts w:asciiTheme="majorHAnsi" w:hAnsiTheme="majorHAnsi"/>
          <w:color w:val="003055" w:themeColor="text1"/>
        </w:rPr>
        <w:t>Office of Government Ethics</w:t>
      </w:r>
    </w:p>
    <w:tbl>
      <w:tblPr>
        <w:tblStyle w:val="TableGrid"/>
        <w:tblW w:w="9645" w:type="dxa"/>
        <w:jc w:val="center"/>
        <w:tblCellMar>
          <w:top w:w="58" w:type="dxa"/>
          <w:left w:w="115" w:type="dxa"/>
          <w:bottom w:w="58" w:type="dxa"/>
          <w:right w:w="115" w:type="dxa"/>
        </w:tblCellMar>
        <w:tblLook w:val="04A0" w:firstRow="1" w:lastRow="0" w:firstColumn="1" w:lastColumn="0" w:noHBand="0" w:noVBand="1"/>
      </w:tblPr>
      <w:tblGrid>
        <w:gridCol w:w="2854"/>
        <w:gridCol w:w="6791"/>
      </w:tblGrid>
      <w:tr w:rsidR="00676FF6" w:rsidRPr="00676FF6" w14:paraId="1889FFBF" w14:textId="77777777" w:rsidTr="0052183C">
        <w:trPr>
          <w:jc w:val="center"/>
        </w:trPr>
        <w:tc>
          <w:tcPr>
            <w:tcW w:w="9645"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4E4CC9A" w14:textId="77777777" w:rsidR="00B64A22" w:rsidRPr="00676FF6" w:rsidRDefault="00B64A22" w:rsidP="00B64A22">
            <w:pPr>
              <w:jc w:val="center"/>
              <w:rPr>
                <w:rFonts w:asciiTheme="majorHAnsi" w:hAnsiTheme="majorHAnsi" w:cstheme="majorHAnsi"/>
                <w:b/>
              </w:rPr>
            </w:pPr>
            <w:r w:rsidRPr="00676FF6">
              <w:rPr>
                <w:rFonts w:asciiTheme="majorHAnsi" w:hAnsiTheme="majorHAnsi" w:cstheme="majorHAnsi"/>
                <w:b/>
              </w:rPr>
              <w:t>OVERVIEW</w:t>
            </w:r>
          </w:p>
        </w:tc>
      </w:tr>
      <w:tr w:rsidR="00676FF6" w:rsidRPr="00676FF6" w14:paraId="6B3D795B"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250706" w14:textId="77777777" w:rsidR="00B92A39" w:rsidRPr="008251B4" w:rsidRDefault="000E0157" w:rsidP="004E1C64">
            <w:pPr>
              <w:rPr>
                <w:rFonts w:asciiTheme="majorHAnsi" w:hAnsiTheme="majorHAnsi" w:cstheme="majorHAnsi"/>
                <w:sz w:val="21"/>
                <w:szCs w:val="21"/>
              </w:rPr>
            </w:pPr>
            <w:r w:rsidRPr="008251B4">
              <w:rPr>
                <w:rFonts w:asciiTheme="majorHAnsi" w:hAnsiTheme="majorHAnsi" w:cstheme="majorHAnsi"/>
                <w:sz w:val="21"/>
                <w:szCs w:val="21"/>
              </w:rPr>
              <w:t xml:space="preserve">Senate </w:t>
            </w:r>
            <w:r w:rsidR="00B92A39" w:rsidRPr="008251B4">
              <w:rPr>
                <w:rFonts w:asciiTheme="majorHAnsi" w:hAnsiTheme="majorHAnsi" w:cstheme="majorHAnsi"/>
                <w:sz w:val="21"/>
                <w:szCs w:val="21"/>
              </w:rPr>
              <w:t>Committee</w:t>
            </w:r>
          </w:p>
        </w:tc>
        <w:tc>
          <w:tcPr>
            <w:tcW w:w="6791" w:type="dxa"/>
            <w:tcBorders>
              <w:top w:val="single" w:sz="2" w:space="0" w:color="auto"/>
              <w:left w:val="single" w:sz="2" w:space="0" w:color="auto"/>
              <w:bottom w:val="single" w:sz="2" w:space="0" w:color="auto"/>
              <w:right w:val="single" w:sz="2" w:space="0" w:color="auto"/>
            </w:tcBorders>
          </w:tcPr>
          <w:p w14:paraId="048B3358" w14:textId="6A5CA908" w:rsidR="00B30C4A" w:rsidRPr="008251B4" w:rsidRDefault="007E6FD8" w:rsidP="00B30C4A">
            <w:pPr>
              <w:rPr>
                <w:rFonts w:asciiTheme="majorHAnsi" w:hAnsiTheme="majorHAnsi" w:cstheme="majorHAnsi"/>
                <w:bCs/>
                <w:sz w:val="21"/>
                <w:szCs w:val="21"/>
              </w:rPr>
            </w:pPr>
            <w:r w:rsidRPr="008251B4">
              <w:rPr>
                <w:rFonts w:asciiTheme="majorHAnsi" w:hAnsiTheme="majorHAnsi" w:cstheme="majorHAnsi"/>
                <w:bCs/>
                <w:sz w:val="21"/>
                <w:szCs w:val="21"/>
              </w:rPr>
              <w:t>Homeland Security and Governmental Affairs</w:t>
            </w:r>
            <w:r w:rsidR="00C47180" w:rsidRPr="008251B4">
              <w:rPr>
                <w:rFonts w:asciiTheme="majorHAnsi" w:hAnsiTheme="majorHAnsi" w:cstheme="majorHAnsi"/>
                <w:bCs/>
                <w:sz w:val="21"/>
                <w:szCs w:val="21"/>
              </w:rPr>
              <w:t>.</w:t>
            </w:r>
            <w:r w:rsidR="00317618" w:rsidRPr="008251B4">
              <w:rPr>
                <w:rStyle w:val="EndnoteReference"/>
                <w:rFonts w:asciiTheme="majorHAnsi" w:hAnsiTheme="majorHAnsi" w:cstheme="majorHAnsi"/>
                <w:bCs/>
                <w:sz w:val="21"/>
                <w:szCs w:val="21"/>
              </w:rPr>
              <w:endnoteReference w:id="1"/>
            </w:r>
          </w:p>
        </w:tc>
      </w:tr>
      <w:tr w:rsidR="00676FF6" w:rsidRPr="00676FF6" w14:paraId="2629959C"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0657AD9" w14:textId="77777777" w:rsidR="00661AE5" w:rsidRPr="008251B4" w:rsidRDefault="003910F3" w:rsidP="004E1C64">
            <w:pPr>
              <w:rPr>
                <w:rFonts w:asciiTheme="majorHAnsi" w:hAnsiTheme="majorHAnsi" w:cstheme="majorHAnsi"/>
                <w:sz w:val="21"/>
                <w:szCs w:val="21"/>
              </w:rPr>
            </w:pPr>
            <w:r w:rsidRPr="008251B4">
              <w:rPr>
                <w:rFonts w:asciiTheme="majorHAnsi" w:hAnsiTheme="majorHAnsi" w:cstheme="majorHAnsi"/>
                <w:sz w:val="21"/>
                <w:szCs w:val="21"/>
              </w:rPr>
              <w:t>Agency Mission</w:t>
            </w:r>
          </w:p>
        </w:tc>
        <w:tc>
          <w:tcPr>
            <w:tcW w:w="6791" w:type="dxa"/>
            <w:tcBorders>
              <w:top w:val="single" w:sz="2" w:space="0" w:color="auto"/>
              <w:left w:val="single" w:sz="2" w:space="0" w:color="auto"/>
              <w:bottom w:val="single" w:sz="2" w:space="0" w:color="auto"/>
              <w:right w:val="single" w:sz="2" w:space="0" w:color="auto"/>
            </w:tcBorders>
          </w:tcPr>
          <w:p w14:paraId="4026A8E1" w14:textId="7FCD84C6" w:rsidR="0030193E" w:rsidRPr="008251B4" w:rsidRDefault="008627B7" w:rsidP="00DA5D6A">
            <w:pPr>
              <w:rPr>
                <w:rFonts w:asciiTheme="majorHAnsi" w:hAnsiTheme="majorHAnsi" w:cstheme="majorHAnsi"/>
                <w:bCs/>
                <w:sz w:val="21"/>
                <w:szCs w:val="21"/>
                <w:lang w:val="en"/>
              </w:rPr>
            </w:pPr>
            <w:r w:rsidRPr="008251B4">
              <w:rPr>
                <w:rFonts w:asciiTheme="majorHAnsi" w:hAnsiTheme="majorHAnsi" w:cstheme="majorHAnsi"/>
                <w:bCs/>
                <w:sz w:val="21"/>
                <w:szCs w:val="21"/>
                <w:lang w:val="en"/>
              </w:rPr>
              <w:t>To p</w:t>
            </w:r>
            <w:r w:rsidR="00317618" w:rsidRPr="008251B4">
              <w:rPr>
                <w:rFonts w:asciiTheme="majorHAnsi" w:hAnsiTheme="majorHAnsi" w:cstheme="majorHAnsi"/>
                <w:bCs/>
                <w:sz w:val="21"/>
                <w:szCs w:val="21"/>
                <w:lang w:val="en"/>
              </w:rPr>
              <w:t>rovide overall leadership and oversight of the executive branch ethics program to prevent and resolve conflicts of interest</w:t>
            </w:r>
            <w:r w:rsidR="009E4ADB" w:rsidRPr="008251B4">
              <w:rPr>
                <w:rFonts w:asciiTheme="majorHAnsi" w:hAnsiTheme="majorHAnsi" w:cstheme="majorHAnsi"/>
                <w:bCs/>
                <w:sz w:val="21"/>
                <w:szCs w:val="21"/>
                <w:lang w:val="en"/>
              </w:rPr>
              <w:t xml:space="preserve"> and to establish uniform standards of ethical cond</w:t>
            </w:r>
            <w:r w:rsidR="00DA5D6A" w:rsidRPr="008251B4">
              <w:rPr>
                <w:rFonts w:asciiTheme="majorHAnsi" w:hAnsiTheme="majorHAnsi" w:cstheme="majorHAnsi"/>
                <w:bCs/>
                <w:sz w:val="21"/>
                <w:szCs w:val="21"/>
                <w:lang w:val="en"/>
              </w:rPr>
              <w:t>uct across the executive branch</w:t>
            </w:r>
            <w:r w:rsidR="00C47180" w:rsidRPr="008251B4">
              <w:rPr>
                <w:rFonts w:asciiTheme="majorHAnsi" w:hAnsiTheme="majorHAnsi" w:cstheme="majorHAnsi"/>
                <w:bCs/>
                <w:sz w:val="21"/>
                <w:szCs w:val="21"/>
                <w:lang w:val="en"/>
              </w:rPr>
              <w:t>.</w:t>
            </w:r>
            <w:r w:rsidR="00DA5D6A" w:rsidRPr="008251B4">
              <w:rPr>
                <w:rStyle w:val="EndnoteReference"/>
                <w:rFonts w:asciiTheme="majorHAnsi" w:hAnsiTheme="majorHAnsi" w:cstheme="majorHAnsi"/>
                <w:bCs/>
                <w:sz w:val="21"/>
                <w:szCs w:val="21"/>
                <w:lang w:val="en"/>
              </w:rPr>
              <w:endnoteReference w:id="2"/>
            </w:r>
          </w:p>
        </w:tc>
      </w:tr>
      <w:tr w:rsidR="00676FF6" w:rsidRPr="00676FF6" w14:paraId="6B2840BE"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45D3B4B" w14:textId="77777777" w:rsidR="00661AE5" w:rsidRPr="008251B4" w:rsidRDefault="00661AE5" w:rsidP="004E1C64">
            <w:pPr>
              <w:rPr>
                <w:rFonts w:asciiTheme="majorHAnsi" w:hAnsiTheme="majorHAnsi" w:cstheme="majorHAnsi"/>
                <w:sz w:val="21"/>
                <w:szCs w:val="21"/>
              </w:rPr>
            </w:pPr>
            <w:r w:rsidRPr="008251B4">
              <w:rPr>
                <w:rFonts w:asciiTheme="majorHAnsi" w:hAnsiTheme="majorHAnsi" w:cstheme="majorHAnsi"/>
                <w:sz w:val="21"/>
                <w:szCs w:val="21"/>
              </w:rPr>
              <w:t>Position Overview</w:t>
            </w:r>
          </w:p>
        </w:tc>
        <w:tc>
          <w:tcPr>
            <w:tcW w:w="6791" w:type="dxa"/>
            <w:tcBorders>
              <w:top w:val="single" w:sz="2" w:space="0" w:color="auto"/>
              <w:left w:val="single" w:sz="2" w:space="0" w:color="auto"/>
              <w:bottom w:val="single" w:sz="2" w:space="0" w:color="auto"/>
              <w:right w:val="single" w:sz="2" w:space="0" w:color="auto"/>
            </w:tcBorders>
          </w:tcPr>
          <w:p w14:paraId="27B879E0" w14:textId="77777777" w:rsidR="00661AE5" w:rsidRPr="008251B4" w:rsidRDefault="00317618">
            <w:pPr>
              <w:rPr>
                <w:rFonts w:asciiTheme="majorHAnsi" w:hAnsiTheme="majorHAnsi" w:cstheme="majorHAnsi"/>
                <w:sz w:val="21"/>
                <w:szCs w:val="21"/>
              </w:rPr>
            </w:pPr>
            <w:r w:rsidRPr="008251B4">
              <w:rPr>
                <w:rFonts w:asciiTheme="majorHAnsi" w:hAnsiTheme="majorHAnsi" w:cstheme="majorHAnsi"/>
                <w:sz w:val="21"/>
                <w:szCs w:val="21"/>
              </w:rPr>
              <w:t>The Director of the U.S. Office of Government Ethics (OGE) leads the agency responsible for providing the overall direction of executive branch policies related to preventing conflicts of interest on the part of officers and employees of any executive branch agency, as defined in the Ethics in Government Act.</w:t>
            </w:r>
            <w:r w:rsidRPr="008251B4">
              <w:rPr>
                <w:rStyle w:val="EndnoteReference"/>
                <w:rFonts w:asciiTheme="majorHAnsi" w:hAnsiTheme="majorHAnsi" w:cstheme="majorHAnsi"/>
                <w:sz w:val="21"/>
                <w:szCs w:val="21"/>
              </w:rPr>
              <w:endnoteReference w:id="3"/>
            </w:r>
          </w:p>
        </w:tc>
      </w:tr>
      <w:tr w:rsidR="00676FF6" w:rsidRPr="00676FF6" w14:paraId="71493F41"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248A5F9" w14:textId="77777777" w:rsidR="008A05DD" w:rsidRPr="008251B4" w:rsidRDefault="00661AE5" w:rsidP="00962B37">
            <w:pPr>
              <w:rPr>
                <w:rFonts w:asciiTheme="majorHAnsi" w:hAnsiTheme="majorHAnsi" w:cstheme="majorHAnsi"/>
                <w:i/>
                <w:sz w:val="21"/>
                <w:szCs w:val="21"/>
              </w:rPr>
            </w:pPr>
            <w:r w:rsidRPr="008251B4">
              <w:rPr>
                <w:rFonts w:asciiTheme="majorHAnsi" w:hAnsiTheme="majorHAnsi" w:cstheme="majorHAnsi"/>
                <w:sz w:val="21"/>
                <w:szCs w:val="21"/>
              </w:rPr>
              <w:t>Compensation</w:t>
            </w:r>
          </w:p>
        </w:tc>
        <w:tc>
          <w:tcPr>
            <w:tcW w:w="6791" w:type="dxa"/>
            <w:tcBorders>
              <w:top w:val="single" w:sz="2" w:space="0" w:color="auto"/>
              <w:left w:val="single" w:sz="2" w:space="0" w:color="auto"/>
              <w:bottom w:val="single" w:sz="2" w:space="0" w:color="auto"/>
              <w:right w:val="single" w:sz="2" w:space="0" w:color="auto"/>
            </w:tcBorders>
          </w:tcPr>
          <w:p w14:paraId="3813F921" w14:textId="5C3B90BC" w:rsidR="00661AE5" w:rsidRPr="008251B4" w:rsidRDefault="008627B7" w:rsidP="127A5945">
            <w:pPr>
              <w:rPr>
                <w:rFonts w:asciiTheme="majorHAnsi" w:hAnsiTheme="majorHAnsi" w:cstheme="majorBidi"/>
                <w:sz w:val="21"/>
                <w:szCs w:val="21"/>
              </w:rPr>
            </w:pPr>
            <w:r w:rsidRPr="008251B4">
              <w:rPr>
                <w:rFonts w:asciiTheme="majorHAnsi" w:hAnsiTheme="majorHAnsi" w:cstheme="majorBidi"/>
                <w:sz w:val="21"/>
                <w:szCs w:val="21"/>
              </w:rPr>
              <w:t>Level III</w:t>
            </w:r>
            <w:r w:rsidR="0095718F" w:rsidRPr="008251B4">
              <w:rPr>
                <w:rFonts w:asciiTheme="majorHAnsi" w:hAnsiTheme="majorHAnsi" w:cstheme="majorBidi"/>
                <w:sz w:val="21"/>
                <w:szCs w:val="21"/>
              </w:rPr>
              <w:t xml:space="preserve"> $</w:t>
            </w:r>
            <w:r w:rsidR="003235C6" w:rsidRPr="008251B4">
              <w:rPr>
                <w:rFonts w:asciiTheme="majorHAnsi" w:hAnsiTheme="majorHAnsi" w:cstheme="majorBidi"/>
                <w:sz w:val="21"/>
                <w:szCs w:val="21"/>
              </w:rPr>
              <w:t xml:space="preserve">168,400 </w:t>
            </w:r>
            <w:r w:rsidRPr="008251B4">
              <w:rPr>
                <w:rFonts w:asciiTheme="majorHAnsi" w:hAnsiTheme="majorHAnsi" w:cstheme="majorBidi"/>
                <w:sz w:val="21"/>
                <w:szCs w:val="21"/>
              </w:rPr>
              <w:t>(5 U.S.C. § 5314</w:t>
            </w:r>
            <w:r w:rsidR="00220D75" w:rsidRPr="008251B4">
              <w:rPr>
                <w:rFonts w:asciiTheme="majorHAnsi" w:hAnsiTheme="majorHAnsi" w:cstheme="majorBidi"/>
                <w:sz w:val="21"/>
                <w:szCs w:val="21"/>
              </w:rPr>
              <w:t>)</w:t>
            </w:r>
            <w:r w:rsidR="00EA3278" w:rsidRPr="008251B4">
              <w:rPr>
                <w:rStyle w:val="EndnoteReference"/>
                <w:rFonts w:asciiTheme="majorHAnsi" w:hAnsiTheme="majorHAnsi" w:cstheme="majorBidi"/>
                <w:sz w:val="21"/>
                <w:szCs w:val="21"/>
              </w:rPr>
              <w:endnoteReference w:id="4"/>
            </w:r>
          </w:p>
        </w:tc>
      </w:tr>
      <w:tr w:rsidR="00676FF6" w:rsidRPr="00676FF6" w14:paraId="1F2B87EB"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20C9069" w14:textId="77777777" w:rsidR="00661AE5" w:rsidRPr="008251B4" w:rsidRDefault="00661AE5" w:rsidP="004E1C64">
            <w:pPr>
              <w:rPr>
                <w:rFonts w:asciiTheme="majorHAnsi" w:hAnsiTheme="majorHAnsi" w:cstheme="majorHAnsi"/>
                <w:sz w:val="21"/>
                <w:szCs w:val="21"/>
              </w:rPr>
            </w:pPr>
            <w:r w:rsidRPr="008251B4">
              <w:rPr>
                <w:rFonts w:asciiTheme="majorHAnsi" w:hAnsiTheme="majorHAnsi" w:cstheme="majorHAnsi"/>
                <w:sz w:val="21"/>
                <w:szCs w:val="21"/>
              </w:rPr>
              <w:t>Position Reports to</w:t>
            </w:r>
          </w:p>
        </w:tc>
        <w:tc>
          <w:tcPr>
            <w:tcW w:w="6791" w:type="dxa"/>
            <w:tcBorders>
              <w:top w:val="single" w:sz="2" w:space="0" w:color="auto"/>
              <w:left w:val="single" w:sz="2" w:space="0" w:color="auto"/>
              <w:bottom w:val="single" w:sz="2" w:space="0" w:color="auto"/>
              <w:right w:val="single" w:sz="2" w:space="0" w:color="auto"/>
            </w:tcBorders>
          </w:tcPr>
          <w:p w14:paraId="570CBFEB" w14:textId="77777777" w:rsidR="00D33A2A" w:rsidRPr="008251B4" w:rsidRDefault="00A876D2" w:rsidP="003B12D6">
            <w:pPr>
              <w:rPr>
                <w:rFonts w:asciiTheme="majorHAnsi" w:hAnsiTheme="majorHAnsi" w:cstheme="majorHAnsi"/>
                <w:sz w:val="21"/>
                <w:szCs w:val="21"/>
              </w:rPr>
            </w:pPr>
            <w:r w:rsidRPr="008251B4">
              <w:rPr>
                <w:rFonts w:asciiTheme="majorHAnsi" w:hAnsiTheme="majorHAnsi" w:cstheme="majorHAnsi"/>
                <w:sz w:val="21"/>
                <w:szCs w:val="21"/>
              </w:rPr>
              <w:t xml:space="preserve">The director serves at the pleasure of the president for </w:t>
            </w:r>
            <w:r w:rsidR="003B12D6" w:rsidRPr="008251B4">
              <w:rPr>
                <w:rFonts w:asciiTheme="majorHAnsi" w:hAnsiTheme="majorHAnsi" w:cstheme="majorHAnsi"/>
                <w:sz w:val="21"/>
                <w:szCs w:val="21"/>
              </w:rPr>
              <w:t>a five-year term. (5a U.S.C. § 401)</w:t>
            </w:r>
          </w:p>
        </w:tc>
      </w:tr>
      <w:tr w:rsidR="00676FF6" w:rsidRPr="00676FF6" w14:paraId="705F7284" w14:textId="77777777" w:rsidTr="0052183C">
        <w:trPr>
          <w:jc w:val="center"/>
        </w:trPr>
        <w:tc>
          <w:tcPr>
            <w:tcW w:w="9645"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40A0B46" w14:textId="77777777" w:rsidR="00661AE5" w:rsidRPr="008251B4" w:rsidRDefault="00661AE5" w:rsidP="00B64A22">
            <w:pPr>
              <w:jc w:val="center"/>
              <w:rPr>
                <w:rFonts w:asciiTheme="majorHAnsi" w:hAnsiTheme="majorHAnsi" w:cstheme="majorHAnsi"/>
                <w:b/>
                <w:sz w:val="21"/>
                <w:szCs w:val="21"/>
              </w:rPr>
            </w:pPr>
            <w:r w:rsidRPr="008251B4">
              <w:rPr>
                <w:rFonts w:asciiTheme="majorHAnsi" w:hAnsiTheme="majorHAnsi" w:cstheme="majorHAnsi"/>
                <w:b/>
                <w:sz w:val="21"/>
                <w:szCs w:val="21"/>
              </w:rPr>
              <w:t>RESPONSIBILITIES</w:t>
            </w:r>
          </w:p>
        </w:tc>
      </w:tr>
      <w:tr w:rsidR="00676FF6" w:rsidRPr="00676FF6" w14:paraId="35B3CF43"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8B915FC" w14:textId="77777777" w:rsidR="00661AE5" w:rsidRPr="008251B4" w:rsidRDefault="00661AE5" w:rsidP="004E1C64">
            <w:pPr>
              <w:rPr>
                <w:rFonts w:asciiTheme="majorHAnsi" w:hAnsiTheme="majorHAnsi" w:cstheme="majorHAnsi"/>
                <w:sz w:val="21"/>
                <w:szCs w:val="21"/>
              </w:rPr>
            </w:pPr>
            <w:r w:rsidRPr="008251B4">
              <w:rPr>
                <w:rFonts w:asciiTheme="majorHAnsi" w:hAnsiTheme="majorHAnsi" w:cstheme="majorHAnsi"/>
                <w:sz w:val="21"/>
                <w:szCs w:val="21"/>
              </w:rPr>
              <w:t>Management Scope</w:t>
            </w:r>
          </w:p>
        </w:tc>
        <w:tc>
          <w:tcPr>
            <w:tcW w:w="6791" w:type="dxa"/>
            <w:tcBorders>
              <w:top w:val="single" w:sz="2" w:space="0" w:color="auto"/>
              <w:left w:val="single" w:sz="2" w:space="0" w:color="auto"/>
              <w:bottom w:val="single" w:sz="2" w:space="0" w:color="auto"/>
              <w:right w:val="single" w:sz="2" w:space="0" w:color="auto"/>
            </w:tcBorders>
          </w:tcPr>
          <w:p w14:paraId="0F8D2AE8" w14:textId="3752A89D" w:rsidR="00637D38" w:rsidRPr="008251B4" w:rsidRDefault="00DA5D6A" w:rsidP="127A5945">
            <w:pPr>
              <w:contextualSpacing/>
              <w:rPr>
                <w:rFonts w:asciiTheme="majorHAnsi" w:hAnsiTheme="majorHAnsi" w:cstheme="majorBidi"/>
                <w:sz w:val="21"/>
                <w:szCs w:val="21"/>
              </w:rPr>
            </w:pPr>
            <w:r w:rsidRPr="008251B4">
              <w:rPr>
                <w:rFonts w:asciiTheme="majorHAnsi" w:hAnsiTheme="majorHAnsi" w:cstheme="majorBidi"/>
                <w:sz w:val="21"/>
                <w:szCs w:val="21"/>
              </w:rPr>
              <w:t>OGE oversees the federal executive branch ethics system with a staff of 80 full-time equivalent positions and a current budget of approximately $1</w:t>
            </w:r>
            <w:r w:rsidR="7C8550B5" w:rsidRPr="008251B4">
              <w:rPr>
                <w:rFonts w:asciiTheme="majorHAnsi" w:hAnsiTheme="majorHAnsi" w:cstheme="majorBidi"/>
                <w:sz w:val="21"/>
                <w:szCs w:val="21"/>
              </w:rPr>
              <w:t>7</w:t>
            </w:r>
            <w:r w:rsidRPr="008251B4">
              <w:rPr>
                <w:rFonts w:asciiTheme="majorHAnsi" w:hAnsiTheme="majorHAnsi" w:cstheme="majorBidi"/>
                <w:sz w:val="21"/>
                <w:szCs w:val="21"/>
              </w:rPr>
              <w:t xml:space="preserve"> million.</w:t>
            </w:r>
            <w:r w:rsidRPr="008251B4">
              <w:rPr>
                <w:rStyle w:val="EndnoteReference"/>
                <w:rFonts w:asciiTheme="majorHAnsi" w:hAnsiTheme="majorHAnsi" w:cstheme="majorBidi"/>
                <w:sz w:val="21"/>
                <w:szCs w:val="21"/>
              </w:rPr>
              <w:endnoteReference w:id="5"/>
            </w:r>
          </w:p>
        </w:tc>
      </w:tr>
      <w:tr w:rsidR="00676FF6" w:rsidRPr="00676FF6" w14:paraId="0BD7718B"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E231408" w14:textId="77777777" w:rsidR="00661AE5" w:rsidRPr="008251B4" w:rsidRDefault="00661AE5" w:rsidP="004E1C64">
            <w:pPr>
              <w:rPr>
                <w:rFonts w:asciiTheme="majorHAnsi" w:hAnsiTheme="majorHAnsi" w:cstheme="majorHAnsi"/>
                <w:sz w:val="21"/>
                <w:szCs w:val="21"/>
              </w:rPr>
            </w:pPr>
            <w:r w:rsidRPr="008251B4">
              <w:rPr>
                <w:rFonts w:asciiTheme="majorHAnsi" w:hAnsiTheme="majorHAnsi" w:cstheme="majorHAnsi"/>
                <w:sz w:val="21"/>
                <w:szCs w:val="21"/>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32C456D1" w14:textId="11DC3790" w:rsidR="005402C0" w:rsidRPr="008251B4" w:rsidRDefault="005402C0" w:rsidP="00317618">
            <w:pPr>
              <w:pStyle w:val="ListParagraph"/>
              <w:numPr>
                <w:ilvl w:val="0"/>
                <w:numId w:val="36"/>
              </w:numPr>
              <w:ind w:left="432"/>
              <w:rPr>
                <w:rFonts w:asciiTheme="majorHAnsi" w:hAnsiTheme="majorHAnsi" w:cstheme="majorHAnsi"/>
                <w:sz w:val="21"/>
                <w:szCs w:val="21"/>
              </w:rPr>
            </w:pPr>
            <w:r w:rsidRPr="008251B4">
              <w:rPr>
                <w:rFonts w:asciiTheme="majorHAnsi" w:hAnsiTheme="majorHAnsi" w:cstheme="majorHAnsi"/>
                <w:sz w:val="21"/>
                <w:szCs w:val="21"/>
              </w:rPr>
              <w:t>S</w:t>
            </w:r>
            <w:r w:rsidR="00317618" w:rsidRPr="008251B4">
              <w:rPr>
                <w:rFonts w:asciiTheme="majorHAnsi" w:hAnsiTheme="majorHAnsi" w:cstheme="majorHAnsi"/>
                <w:sz w:val="21"/>
                <w:szCs w:val="21"/>
              </w:rPr>
              <w:t>erves as the</w:t>
            </w:r>
            <w:r w:rsidR="00806059" w:rsidRPr="008251B4">
              <w:rPr>
                <w:rFonts w:asciiTheme="majorHAnsi" w:hAnsiTheme="majorHAnsi" w:cstheme="majorHAnsi"/>
                <w:sz w:val="21"/>
                <w:szCs w:val="21"/>
              </w:rPr>
              <w:t xml:space="preserve"> </w:t>
            </w:r>
            <w:r w:rsidR="00F25FC9" w:rsidRPr="008251B4">
              <w:rPr>
                <w:rFonts w:asciiTheme="majorHAnsi" w:hAnsiTheme="majorHAnsi" w:cstheme="majorHAnsi"/>
                <w:sz w:val="21"/>
                <w:szCs w:val="21"/>
              </w:rPr>
              <w:t xml:space="preserve">senior ethics official in the executive branch and the final authority on all non-criminal ethics matters </w:t>
            </w:r>
            <w:r w:rsidR="00DA5D6A" w:rsidRPr="008251B4">
              <w:rPr>
                <w:rFonts w:asciiTheme="majorHAnsi" w:hAnsiTheme="majorHAnsi" w:cstheme="majorHAnsi"/>
                <w:sz w:val="21"/>
                <w:szCs w:val="21"/>
              </w:rPr>
              <w:t>arising in the executive branch</w:t>
            </w:r>
            <w:r w:rsidR="00C47180" w:rsidRPr="008251B4">
              <w:rPr>
                <w:rFonts w:asciiTheme="majorHAnsi" w:hAnsiTheme="majorHAnsi" w:cstheme="majorHAnsi"/>
                <w:sz w:val="21"/>
                <w:szCs w:val="21"/>
              </w:rPr>
              <w:t>.</w:t>
            </w:r>
          </w:p>
          <w:p w14:paraId="31435696" w14:textId="719B13FC" w:rsidR="00317618" w:rsidRPr="008251B4" w:rsidRDefault="005402C0" w:rsidP="00317618">
            <w:pPr>
              <w:pStyle w:val="ListParagraph"/>
              <w:numPr>
                <w:ilvl w:val="0"/>
                <w:numId w:val="36"/>
              </w:numPr>
              <w:ind w:left="432"/>
              <w:rPr>
                <w:rFonts w:asciiTheme="majorHAnsi" w:hAnsiTheme="majorHAnsi" w:cstheme="majorHAnsi"/>
                <w:sz w:val="21"/>
                <w:szCs w:val="21"/>
              </w:rPr>
            </w:pPr>
            <w:r w:rsidRPr="008251B4">
              <w:rPr>
                <w:rFonts w:asciiTheme="majorHAnsi" w:hAnsiTheme="majorHAnsi" w:cstheme="majorHAnsi"/>
                <w:sz w:val="21"/>
                <w:szCs w:val="21"/>
              </w:rPr>
              <w:t xml:space="preserve">Leads </w:t>
            </w:r>
            <w:r w:rsidR="00317618" w:rsidRPr="008251B4">
              <w:rPr>
                <w:rFonts w:asciiTheme="majorHAnsi" w:hAnsiTheme="majorHAnsi" w:cstheme="majorHAnsi"/>
                <w:sz w:val="21"/>
                <w:szCs w:val="21"/>
              </w:rPr>
              <w:t xml:space="preserve">and manages </w:t>
            </w:r>
            <w:r w:rsidR="00C43E76" w:rsidRPr="008251B4">
              <w:rPr>
                <w:rFonts w:asciiTheme="majorHAnsi" w:hAnsiTheme="majorHAnsi" w:cstheme="majorHAnsi"/>
                <w:sz w:val="21"/>
                <w:szCs w:val="21"/>
              </w:rPr>
              <w:t>in the following areas</w:t>
            </w:r>
            <w:r w:rsidR="00317618" w:rsidRPr="008251B4">
              <w:rPr>
                <w:rFonts w:asciiTheme="majorHAnsi" w:hAnsiTheme="majorHAnsi" w:cstheme="majorHAnsi"/>
                <w:sz w:val="21"/>
                <w:szCs w:val="21"/>
              </w:rPr>
              <w:t>:</w:t>
            </w:r>
          </w:p>
          <w:p w14:paraId="7F5D76FB" w14:textId="484C5299" w:rsidR="005402C0" w:rsidRPr="008251B4" w:rsidRDefault="005402C0"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P</w:t>
            </w:r>
            <w:r w:rsidR="00317618" w:rsidRPr="008251B4">
              <w:rPr>
                <w:rFonts w:asciiTheme="majorHAnsi" w:hAnsiTheme="majorHAnsi" w:cstheme="majorHAnsi"/>
                <w:sz w:val="21"/>
                <w:szCs w:val="21"/>
              </w:rPr>
              <w:t xml:space="preserve">romulgating and maintaining </w:t>
            </w:r>
            <w:r w:rsidR="00806059" w:rsidRPr="008251B4">
              <w:rPr>
                <w:rFonts w:asciiTheme="majorHAnsi" w:hAnsiTheme="majorHAnsi" w:cstheme="majorHAnsi"/>
                <w:sz w:val="21"/>
                <w:szCs w:val="21"/>
              </w:rPr>
              <w:t xml:space="preserve">uniform </w:t>
            </w:r>
            <w:r w:rsidR="00317618" w:rsidRPr="008251B4">
              <w:rPr>
                <w:rFonts w:asciiTheme="majorHAnsi" w:hAnsiTheme="majorHAnsi" w:cstheme="majorHAnsi"/>
                <w:sz w:val="21"/>
                <w:szCs w:val="21"/>
              </w:rPr>
              <w:t>enforceable standards of ethic</w:t>
            </w:r>
            <w:r w:rsidRPr="008251B4">
              <w:rPr>
                <w:rFonts w:asciiTheme="majorHAnsi" w:hAnsiTheme="majorHAnsi" w:cstheme="majorHAnsi"/>
                <w:sz w:val="21"/>
                <w:szCs w:val="21"/>
              </w:rPr>
              <w:t>al conduct for approximately 2.</w:t>
            </w:r>
            <w:r w:rsidR="00317618" w:rsidRPr="008251B4">
              <w:rPr>
                <w:rFonts w:asciiTheme="majorHAnsi" w:hAnsiTheme="majorHAnsi" w:cstheme="majorHAnsi"/>
                <w:sz w:val="21"/>
                <w:szCs w:val="21"/>
              </w:rPr>
              <w:t>7 million employees in over 130 executive bran</w:t>
            </w:r>
            <w:r w:rsidRPr="008251B4">
              <w:rPr>
                <w:rFonts w:asciiTheme="majorHAnsi" w:hAnsiTheme="majorHAnsi" w:cstheme="majorHAnsi"/>
                <w:sz w:val="21"/>
                <w:szCs w:val="21"/>
              </w:rPr>
              <w:t>ch agencies and the White House</w:t>
            </w:r>
            <w:r w:rsidR="00C47180" w:rsidRPr="008251B4">
              <w:rPr>
                <w:rFonts w:asciiTheme="majorHAnsi" w:hAnsiTheme="majorHAnsi" w:cstheme="majorHAnsi"/>
                <w:sz w:val="21"/>
                <w:szCs w:val="21"/>
              </w:rPr>
              <w:t>.</w:t>
            </w:r>
          </w:p>
          <w:p w14:paraId="3FAA67C1" w14:textId="330995C5" w:rsidR="005402C0" w:rsidRPr="008251B4" w:rsidRDefault="005402C0"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O</w:t>
            </w:r>
            <w:r w:rsidR="00317618" w:rsidRPr="008251B4">
              <w:rPr>
                <w:rFonts w:asciiTheme="majorHAnsi" w:hAnsiTheme="majorHAnsi" w:cstheme="majorHAnsi"/>
                <w:sz w:val="21"/>
                <w:szCs w:val="21"/>
              </w:rPr>
              <w:t>verseeing a financial disclosure system that reaches more than 26,000 public and more than 380,000 confidential financial disclosure r</w:t>
            </w:r>
            <w:r w:rsidRPr="008251B4">
              <w:rPr>
                <w:rFonts w:asciiTheme="majorHAnsi" w:hAnsiTheme="majorHAnsi" w:cstheme="majorHAnsi"/>
                <w:sz w:val="21"/>
                <w:szCs w:val="21"/>
              </w:rPr>
              <w:t>eport filers</w:t>
            </w:r>
            <w:r w:rsidR="00C47180" w:rsidRPr="008251B4">
              <w:rPr>
                <w:rFonts w:asciiTheme="majorHAnsi" w:hAnsiTheme="majorHAnsi" w:cstheme="majorHAnsi"/>
                <w:sz w:val="21"/>
                <w:szCs w:val="21"/>
              </w:rPr>
              <w:t>.</w:t>
            </w:r>
          </w:p>
          <w:p w14:paraId="075B3899" w14:textId="11C36669" w:rsidR="00F25FC9" w:rsidRPr="008251B4" w:rsidRDefault="00BF3802"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Certifying</w:t>
            </w:r>
            <w:r w:rsidR="00DA5D6A" w:rsidRPr="008251B4">
              <w:rPr>
                <w:rFonts w:asciiTheme="majorHAnsi" w:hAnsiTheme="majorHAnsi" w:cstheme="majorHAnsi"/>
                <w:sz w:val="21"/>
                <w:szCs w:val="21"/>
              </w:rPr>
              <w:t xml:space="preserve"> that all Senate-</w:t>
            </w:r>
            <w:r w:rsidR="00F25FC9" w:rsidRPr="008251B4">
              <w:rPr>
                <w:rFonts w:asciiTheme="majorHAnsi" w:hAnsiTheme="majorHAnsi" w:cstheme="majorHAnsi"/>
                <w:sz w:val="21"/>
                <w:szCs w:val="21"/>
              </w:rPr>
              <w:t>confirmed executive branch officials have made full and complete disclosure of interests as required by law, and that they have written plans to perform their duties free from conflicts of interest</w:t>
            </w:r>
            <w:r w:rsidR="00C47180" w:rsidRPr="008251B4">
              <w:rPr>
                <w:rFonts w:asciiTheme="majorHAnsi" w:hAnsiTheme="majorHAnsi" w:cstheme="majorHAnsi"/>
                <w:sz w:val="21"/>
                <w:szCs w:val="21"/>
              </w:rPr>
              <w:t>.</w:t>
            </w:r>
          </w:p>
          <w:p w14:paraId="5197051F" w14:textId="103C7455" w:rsidR="00BF3802" w:rsidRPr="008251B4" w:rsidRDefault="00BF3802"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 xml:space="preserve">Certifying that the </w:t>
            </w:r>
            <w:r w:rsidR="00DA5D6A" w:rsidRPr="008251B4">
              <w:rPr>
                <w:rFonts w:asciiTheme="majorHAnsi" w:hAnsiTheme="majorHAnsi" w:cstheme="majorHAnsi"/>
                <w:sz w:val="21"/>
                <w:szCs w:val="21"/>
              </w:rPr>
              <w:t>president, vice president</w:t>
            </w:r>
            <w:r w:rsidRPr="008251B4">
              <w:rPr>
                <w:rFonts w:asciiTheme="majorHAnsi" w:hAnsiTheme="majorHAnsi" w:cstheme="majorHAnsi"/>
                <w:sz w:val="21"/>
                <w:szCs w:val="21"/>
              </w:rPr>
              <w:t>, and candidates for those offices have made full and complete disclosure of interests as required by law</w:t>
            </w:r>
            <w:r w:rsidR="00C47180" w:rsidRPr="008251B4">
              <w:rPr>
                <w:rFonts w:asciiTheme="majorHAnsi" w:hAnsiTheme="majorHAnsi" w:cstheme="majorHAnsi"/>
                <w:sz w:val="21"/>
                <w:szCs w:val="21"/>
              </w:rPr>
              <w:t>.</w:t>
            </w:r>
          </w:p>
          <w:p w14:paraId="29AC514D" w14:textId="7A479E77" w:rsidR="005402C0" w:rsidRPr="008251B4" w:rsidRDefault="005402C0"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E</w:t>
            </w:r>
            <w:r w:rsidR="00317618" w:rsidRPr="008251B4">
              <w:rPr>
                <w:rFonts w:asciiTheme="majorHAnsi" w:hAnsiTheme="majorHAnsi" w:cstheme="majorHAnsi"/>
                <w:sz w:val="21"/>
                <w:szCs w:val="21"/>
              </w:rPr>
              <w:t xml:space="preserve">nsuring that executive branch agency ethics programs </w:t>
            </w:r>
            <w:proofErr w:type="gramStart"/>
            <w:r w:rsidR="00317618" w:rsidRPr="008251B4">
              <w:rPr>
                <w:rFonts w:asciiTheme="majorHAnsi" w:hAnsiTheme="majorHAnsi" w:cstheme="majorHAnsi"/>
                <w:sz w:val="21"/>
                <w:szCs w:val="21"/>
              </w:rPr>
              <w:t>are in</w:t>
            </w:r>
            <w:r w:rsidRPr="008251B4">
              <w:rPr>
                <w:rFonts w:asciiTheme="majorHAnsi" w:hAnsiTheme="majorHAnsi" w:cstheme="majorHAnsi"/>
                <w:sz w:val="21"/>
                <w:szCs w:val="21"/>
              </w:rPr>
              <w:t xml:space="preserve"> compliance with</w:t>
            </w:r>
            <w:proofErr w:type="gramEnd"/>
            <w:r w:rsidRPr="008251B4">
              <w:rPr>
                <w:rFonts w:asciiTheme="majorHAnsi" w:hAnsiTheme="majorHAnsi" w:cstheme="majorHAnsi"/>
                <w:sz w:val="21"/>
                <w:szCs w:val="21"/>
              </w:rPr>
              <w:t xml:space="preserve"> applicable ethics laws and regulations</w:t>
            </w:r>
            <w:r w:rsidR="00C47180" w:rsidRPr="008251B4">
              <w:rPr>
                <w:rFonts w:asciiTheme="majorHAnsi" w:hAnsiTheme="majorHAnsi" w:cstheme="majorHAnsi"/>
                <w:sz w:val="21"/>
                <w:szCs w:val="21"/>
              </w:rPr>
              <w:t>.</w:t>
            </w:r>
          </w:p>
          <w:p w14:paraId="52B7C50C" w14:textId="28974746" w:rsidR="005402C0" w:rsidRPr="008251B4" w:rsidRDefault="005402C0"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Pr</w:t>
            </w:r>
            <w:r w:rsidR="00317618" w:rsidRPr="008251B4">
              <w:rPr>
                <w:rFonts w:asciiTheme="majorHAnsi" w:hAnsiTheme="majorHAnsi" w:cstheme="majorHAnsi"/>
                <w:sz w:val="21"/>
                <w:szCs w:val="21"/>
              </w:rPr>
              <w:t>oviding education and training to the more than 4,500 ethics offi</w:t>
            </w:r>
            <w:r w:rsidRPr="008251B4">
              <w:rPr>
                <w:rFonts w:asciiTheme="majorHAnsi" w:hAnsiTheme="majorHAnsi" w:cstheme="majorHAnsi"/>
                <w:sz w:val="21"/>
                <w:szCs w:val="21"/>
              </w:rPr>
              <w:t xml:space="preserve">cials executive </w:t>
            </w:r>
            <w:proofErr w:type="gramStart"/>
            <w:r w:rsidRPr="008251B4">
              <w:rPr>
                <w:rFonts w:asciiTheme="majorHAnsi" w:hAnsiTheme="majorHAnsi" w:cstheme="majorHAnsi"/>
                <w:sz w:val="21"/>
                <w:szCs w:val="21"/>
              </w:rPr>
              <w:t>branch-wide</w:t>
            </w:r>
            <w:proofErr w:type="gramEnd"/>
            <w:r w:rsidR="00C47180" w:rsidRPr="008251B4">
              <w:rPr>
                <w:rFonts w:asciiTheme="majorHAnsi" w:hAnsiTheme="majorHAnsi" w:cstheme="majorHAnsi"/>
                <w:sz w:val="21"/>
                <w:szCs w:val="21"/>
              </w:rPr>
              <w:t>.</w:t>
            </w:r>
          </w:p>
          <w:p w14:paraId="6F0F4189" w14:textId="4E960EA3" w:rsidR="005402C0" w:rsidRPr="008251B4" w:rsidRDefault="005402C0"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C</w:t>
            </w:r>
            <w:r w:rsidR="00317618" w:rsidRPr="008251B4">
              <w:rPr>
                <w:rFonts w:asciiTheme="majorHAnsi" w:hAnsiTheme="majorHAnsi" w:cstheme="majorHAnsi"/>
                <w:sz w:val="21"/>
                <w:szCs w:val="21"/>
              </w:rPr>
              <w:t>onducting outreach to the gen</w:t>
            </w:r>
            <w:r w:rsidRPr="008251B4">
              <w:rPr>
                <w:rFonts w:asciiTheme="majorHAnsi" w:hAnsiTheme="majorHAnsi" w:cstheme="majorHAnsi"/>
                <w:sz w:val="21"/>
                <w:szCs w:val="21"/>
              </w:rPr>
              <w:t>eral public, the private sector and civil society</w:t>
            </w:r>
            <w:r w:rsidR="00C47180" w:rsidRPr="008251B4">
              <w:rPr>
                <w:rFonts w:asciiTheme="majorHAnsi" w:hAnsiTheme="majorHAnsi" w:cstheme="majorHAnsi"/>
                <w:sz w:val="21"/>
                <w:szCs w:val="21"/>
              </w:rPr>
              <w:t>.</w:t>
            </w:r>
          </w:p>
          <w:p w14:paraId="37521F5A" w14:textId="6DBC649F" w:rsidR="00317618" w:rsidRPr="008251B4" w:rsidRDefault="005402C0" w:rsidP="005402C0">
            <w:pPr>
              <w:pStyle w:val="ListParagraph"/>
              <w:numPr>
                <w:ilvl w:val="1"/>
                <w:numId w:val="36"/>
              </w:numPr>
              <w:ind w:left="720"/>
              <w:rPr>
                <w:rFonts w:asciiTheme="majorHAnsi" w:hAnsiTheme="majorHAnsi" w:cstheme="majorHAnsi"/>
                <w:sz w:val="21"/>
                <w:szCs w:val="21"/>
              </w:rPr>
            </w:pPr>
            <w:r w:rsidRPr="008251B4">
              <w:rPr>
                <w:rFonts w:asciiTheme="majorHAnsi" w:hAnsiTheme="majorHAnsi" w:cstheme="majorHAnsi"/>
                <w:sz w:val="21"/>
                <w:szCs w:val="21"/>
              </w:rPr>
              <w:t>P</w:t>
            </w:r>
            <w:r w:rsidR="00317618" w:rsidRPr="008251B4">
              <w:rPr>
                <w:rFonts w:asciiTheme="majorHAnsi" w:hAnsiTheme="majorHAnsi" w:cstheme="majorHAnsi"/>
                <w:sz w:val="21"/>
                <w:szCs w:val="21"/>
              </w:rPr>
              <w:t>roviding techn</w:t>
            </w:r>
            <w:r w:rsidRPr="008251B4">
              <w:rPr>
                <w:rFonts w:asciiTheme="majorHAnsi" w:hAnsiTheme="majorHAnsi" w:cstheme="majorHAnsi"/>
                <w:sz w:val="21"/>
                <w:szCs w:val="21"/>
              </w:rPr>
              <w:t>ical assistance to state, local</w:t>
            </w:r>
            <w:r w:rsidR="00317618" w:rsidRPr="008251B4">
              <w:rPr>
                <w:rFonts w:asciiTheme="majorHAnsi" w:hAnsiTheme="majorHAnsi" w:cstheme="majorHAnsi"/>
                <w:sz w:val="21"/>
                <w:szCs w:val="21"/>
              </w:rPr>
              <w:t xml:space="preserve"> and foreign governments </w:t>
            </w:r>
            <w:r w:rsidRPr="008251B4">
              <w:rPr>
                <w:rFonts w:asciiTheme="majorHAnsi" w:hAnsiTheme="majorHAnsi" w:cstheme="majorHAnsi"/>
                <w:sz w:val="21"/>
                <w:szCs w:val="21"/>
              </w:rPr>
              <w:t>and international organizations</w:t>
            </w:r>
            <w:r w:rsidR="00C47180" w:rsidRPr="008251B4">
              <w:rPr>
                <w:rFonts w:asciiTheme="majorHAnsi" w:hAnsiTheme="majorHAnsi" w:cstheme="majorHAnsi"/>
                <w:sz w:val="21"/>
                <w:szCs w:val="21"/>
              </w:rPr>
              <w:t>.</w:t>
            </w:r>
          </w:p>
          <w:p w14:paraId="64899FD4" w14:textId="6F6D06B1" w:rsidR="00BF3802" w:rsidRPr="008251B4" w:rsidRDefault="00BF3802" w:rsidP="005402C0">
            <w:pPr>
              <w:pStyle w:val="ListParagraph"/>
              <w:numPr>
                <w:ilvl w:val="0"/>
                <w:numId w:val="36"/>
              </w:numPr>
              <w:ind w:left="432"/>
              <w:rPr>
                <w:rFonts w:asciiTheme="majorHAnsi" w:hAnsiTheme="majorHAnsi" w:cstheme="majorHAnsi"/>
                <w:sz w:val="21"/>
                <w:szCs w:val="21"/>
              </w:rPr>
            </w:pPr>
            <w:r w:rsidRPr="008251B4">
              <w:rPr>
                <w:rFonts w:asciiTheme="majorHAnsi" w:hAnsiTheme="majorHAnsi" w:cstheme="majorHAnsi"/>
                <w:sz w:val="21"/>
                <w:szCs w:val="21"/>
              </w:rPr>
              <w:t>Serves as a member of the Council of Inspectors General for Integrity and Efficiency</w:t>
            </w:r>
            <w:r w:rsidR="00C47180" w:rsidRPr="008251B4">
              <w:rPr>
                <w:rFonts w:asciiTheme="majorHAnsi" w:hAnsiTheme="majorHAnsi" w:cstheme="majorHAnsi"/>
                <w:sz w:val="21"/>
                <w:szCs w:val="21"/>
              </w:rPr>
              <w:t>.</w:t>
            </w:r>
          </w:p>
          <w:p w14:paraId="0EC56395" w14:textId="44A6B9E6" w:rsidR="005402C0" w:rsidRPr="008251B4" w:rsidRDefault="005402C0" w:rsidP="005402C0">
            <w:pPr>
              <w:pStyle w:val="ListParagraph"/>
              <w:numPr>
                <w:ilvl w:val="0"/>
                <w:numId w:val="36"/>
              </w:numPr>
              <w:ind w:left="432"/>
              <w:rPr>
                <w:rFonts w:asciiTheme="majorHAnsi" w:hAnsiTheme="majorHAnsi" w:cstheme="majorHAnsi"/>
                <w:sz w:val="21"/>
                <w:szCs w:val="21"/>
              </w:rPr>
            </w:pPr>
            <w:r w:rsidRPr="008251B4">
              <w:rPr>
                <w:rFonts w:asciiTheme="majorHAnsi" w:hAnsiTheme="majorHAnsi" w:cstheme="majorHAnsi"/>
                <w:sz w:val="21"/>
                <w:szCs w:val="21"/>
              </w:rPr>
              <w:lastRenderedPageBreak/>
              <w:t>E</w:t>
            </w:r>
            <w:r w:rsidR="00317618" w:rsidRPr="008251B4">
              <w:rPr>
                <w:rFonts w:asciiTheme="majorHAnsi" w:hAnsiTheme="majorHAnsi" w:cstheme="majorHAnsi"/>
                <w:sz w:val="21"/>
                <w:szCs w:val="21"/>
              </w:rPr>
              <w:t>stablishes the agency's priorities and ensures that th</w:t>
            </w:r>
            <w:r w:rsidRPr="008251B4">
              <w:rPr>
                <w:rFonts w:asciiTheme="majorHAnsi" w:hAnsiTheme="majorHAnsi" w:cstheme="majorHAnsi"/>
                <w:sz w:val="21"/>
                <w:szCs w:val="21"/>
              </w:rPr>
              <w:t>ey are effectively carried out</w:t>
            </w:r>
            <w:r w:rsidR="00C47180" w:rsidRPr="008251B4">
              <w:rPr>
                <w:rFonts w:asciiTheme="majorHAnsi" w:hAnsiTheme="majorHAnsi" w:cstheme="majorHAnsi"/>
                <w:sz w:val="21"/>
                <w:szCs w:val="21"/>
              </w:rPr>
              <w:t>.</w:t>
            </w:r>
          </w:p>
          <w:p w14:paraId="4589FD42" w14:textId="4B36814C" w:rsidR="005402C0" w:rsidRPr="008251B4" w:rsidRDefault="005402C0" w:rsidP="005402C0">
            <w:pPr>
              <w:pStyle w:val="ListParagraph"/>
              <w:numPr>
                <w:ilvl w:val="0"/>
                <w:numId w:val="36"/>
              </w:numPr>
              <w:ind w:left="432"/>
              <w:rPr>
                <w:rFonts w:asciiTheme="majorHAnsi" w:hAnsiTheme="majorHAnsi" w:cstheme="majorHAnsi"/>
                <w:sz w:val="21"/>
                <w:szCs w:val="21"/>
              </w:rPr>
            </w:pPr>
            <w:r w:rsidRPr="008251B4">
              <w:rPr>
                <w:rFonts w:asciiTheme="majorHAnsi" w:hAnsiTheme="majorHAnsi" w:cstheme="majorHAnsi"/>
                <w:sz w:val="21"/>
                <w:szCs w:val="21"/>
              </w:rPr>
              <w:t>Ensures</w:t>
            </w:r>
            <w:r w:rsidR="00317618" w:rsidRPr="008251B4">
              <w:rPr>
                <w:rFonts w:asciiTheme="majorHAnsi" w:hAnsiTheme="majorHAnsi" w:cstheme="majorHAnsi"/>
                <w:sz w:val="21"/>
                <w:szCs w:val="21"/>
              </w:rPr>
              <w:t xml:space="preserve"> that the agency operates in accordance with applicable laws, r</w:t>
            </w:r>
            <w:r w:rsidRPr="008251B4">
              <w:rPr>
                <w:rFonts w:asciiTheme="majorHAnsi" w:hAnsiTheme="majorHAnsi" w:cstheme="majorHAnsi"/>
                <w:sz w:val="21"/>
                <w:szCs w:val="21"/>
              </w:rPr>
              <w:t>egulations and public policies</w:t>
            </w:r>
            <w:r w:rsidR="00C47180" w:rsidRPr="008251B4">
              <w:rPr>
                <w:rFonts w:asciiTheme="majorHAnsi" w:hAnsiTheme="majorHAnsi" w:cstheme="majorHAnsi"/>
                <w:sz w:val="21"/>
                <w:szCs w:val="21"/>
              </w:rPr>
              <w:t>.</w:t>
            </w:r>
          </w:p>
          <w:p w14:paraId="59C5944F" w14:textId="050B2B29" w:rsidR="0016537A" w:rsidRPr="008251B4" w:rsidRDefault="005402C0" w:rsidP="005402C0">
            <w:pPr>
              <w:pStyle w:val="ListParagraph"/>
              <w:numPr>
                <w:ilvl w:val="0"/>
                <w:numId w:val="36"/>
              </w:numPr>
              <w:ind w:left="432"/>
              <w:rPr>
                <w:rFonts w:asciiTheme="majorHAnsi" w:hAnsiTheme="majorHAnsi" w:cstheme="majorHAnsi"/>
                <w:sz w:val="21"/>
                <w:szCs w:val="21"/>
              </w:rPr>
            </w:pPr>
            <w:r w:rsidRPr="008251B4">
              <w:rPr>
                <w:rFonts w:asciiTheme="majorHAnsi" w:hAnsiTheme="majorHAnsi" w:cstheme="majorHAnsi"/>
                <w:sz w:val="21"/>
                <w:szCs w:val="21"/>
              </w:rPr>
              <w:t>Oversees</w:t>
            </w:r>
            <w:r w:rsidR="00317618" w:rsidRPr="008251B4">
              <w:rPr>
                <w:rFonts w:asciiTheme="majorHAnsi" w:hAnsiTheme="majorHAnsi" w:cstheme="majorHAnsi"/>
                <w:sz w:val="21"/>
                <w:szCs w:val="21"/>
              </w:rPr>
              <w:t xml:space="preserve"> the agency's human, financial and</w:t>
            </w:r>
            <w:r w:rsidRPr="008251B4">
              <w:rPr>
                <w:rFonts w:asciiTheme="majorHAnsi" w:hAnsiTheme="majorHAnsi" w:cstheme="majorHAnsi"/>
                <w:sz w:val="21"/>
                <w:szCs w:val="21"/>
              </w:rPr>
              <w:t xml:space="preserve"> other resources</w:t>
            </w:r>
            <w:r w:rsidR="00C47180" w:rsidRPr="008251B4">
              <w:rPr>
                <w:rFonts w:asciiTheme="majorHAnsi" w:hAnsiTheme="majorHAnsi" w:cstheme="majorHAnsi"/>
                <w:sz w:val="21"/>
                <w:szCs w:val="21"/>
              </w:rPr>
              <w:t>.</w:t>
            </w:r>
            <w:r w:rsidRPr="008251B4">
              <w:rPr>
                <w:rStyle w:val="EndnoteReference"/>
                <w:rFonts w:asciiTheme="majorHAnsi" w:hAnsiTheme="majorHAnsi" w:cstheme="majorHAnsi"/>
                <w:sz w:val="21"/>
                <w:szCs w:val="21"/>
              </w:rPr>
              <w:endnoteReference w:id="6"/>
            </w:r>
          </w:p>
        </w:tc>
      </w:tr>
      <w:tr w:rsidR="00676FF6" w:rsidRPr="00676FF6" w14:paraId="5AE0A2EE"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32BA8FA" w14:textId="77777777" w:rsidR="00661AE5" w:rsidRPr="008251B4" w:rsidRDefault="00661AE5" w:rsidP="004E1C64">
            <w:pPr>
              <w:rPr>
                <w:rFonts w:asciiTheme="majorHAnsi" w:hAnsiTheme="majorHAnsi" w:cstheme="majorHAnsi"/>
                <w:sz w:val="21"/>
                <w:szCs w:val="21"/>
              </w:rPr>
            </w:pPr>
            <w:r w:rsidRPr="008251B4">
              <w:rPr>
                <w:rFonts w:asciiTheme="majorHAnsi" w:hAnsiTheme="majorHAnsi" w:cstheme="majorHAnsi"/>
                <w:sz w:val="21"/>
                <w:szCs w:val="21"/>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1CFE639A" w14:textId="1883829D" w:rsidR="00CD7EB5" w:rsidRPr="008251B4" w:rsidRDefault="00BF3802" w:rsidP="00DA5D6A">
            <w:pPr>
              <w:pStyle w:val="ListParagraph"/>
              <w:numPr>
                <w:ilvl w:val="0"/>
                <w:numId w:val="39"/>
              </w:numPr>
              <w:rPr>
                <w:rFonts w:asciiTheme="majorHAnsi" w:hAnsiTheme="majorHAnsi" w:cstheme="majorHAnsi"/>
                <w:sz w:val="21"/>
                <w:szCs w:val="21"/>
              </w:rPr>
            </w:pPr>
            <w:r w:rsidRPr="008251B4">
              <w:rPr>
                <w:rFonts w:asciiTheme="majorHAnsi" w:hAnsiTheme="majorHAnsi" w:cstheme="majorHAnsi"/>
                <w:sz w:val="21"/>
                <w:szCs w:val="21"/>
              </w:rPr>
              <w:t>Ensures the timely and accurate review of financial disclosure statements and ethics plans by prospective executive branch nominees requiring Senate confirmation</w:t>
            </w:r>
            <w:r w:rsidR="00C47180" w:rsidRPr="008251B4">
              <w:rPr>
                <w:rFonts w:asciiTheme="majorHAnsi" w:hAnsiTheme="majorHAnsi" w:cstheme="majorHAnsi"/>
                <w:sz w:val="21"/>
                <w:szCs w:val="21"/>
              </w:rPr>
              <w:t>.</w:t>
            </w:r>
          </w:p>
          <w:p w14:paraId="663FCA2F" w14:textId="083675CA" w:rsidR="00CD7EB5" w:rsidRPr="008251B4" w:rsidRDefault="00CD7EB5" w:rsidP="00CD7EB5">
            <w:pPr>
              <w:pStyle w:val="ListParagraph"/>
              <w:numPr>
                <w:ilvl w:val="0"/>
                <w:numId w:val="39"/>
              </w:numPr>
              <w:rPr>
                <w:rFonts w:asciiTheme="majorHAnsi" w:hAnsiTheme="majorHAnsi" w:cstheme="majorHAnsi"/>
                <w:sz w:val="21"/>
                <w:szCs w:val="21"/>
              </w:rPr>
            </w:pPr>
            <w:r w:rsidRPr="008251B4">
              <w:rPr>
                <w:rFonts w:asciiTheme="majorHAnsi" w:hAnsiTheme="majorHAnsi" w:cstheme="majorHAnsi"/>
                <w:sz w:val="21"/>
                <w:szCs w:val="21"/>
              </w:rPr>
              <w:t xml:space="preserve">Ensures the timely and accurate review of annual and termination financial </w:t>
            </w:r>
            <w:r w:rsidR="00DA5D6A" w:rsidRPr="008251B4">
              <w:rPr>
                <w:rFonts w:asciiTheme="majorHAnsi" w:hAnsiTheme="majorHAnsi" w:cstheme="majorHAnsi"/>
                <w:sz w:val="21"/>
                <w:szCs w:val="21"/>
              </w:rPr>
              <w:t>disclosure statements by Senate-</w:t>
            </w:r>
            <w:r w:rsidRPr="008251B4">
              <w:rPr>
                <w:rFonts w:asciiTheme="majorHAnsi" w:hAnsiTheme="majorHAnsi" w:cstheme="majorHAnsi"/>
                <w:sz w:val="21"/>
                <w:szCs w:val="21"/>
              </w:rPr>
              <w:t>confirmed executive branch appointees</w:t>
            </w:r>
            <w:r w:rsidR="00C47180" w:rsidRPr="008251B4">
              <w:rPr>
                <w:rFonts w:asciiTheme="majorHAnsi" w:hAnsiTheme="majorHAnsi" w:cstheme="majorHAnsi"/>
                <w:sz w:val="21"/>
                <w:szCs w:val="21"/>
              </w:rPr>
              <w:t>.</w:t>
            </w:r>
            <w:r w:rsidRPr="008251B4">
              <w:rPr>
                <w:rFonts w:asciiTheme="majorHAnsi" w:hAnsiTheme="majorHAnsi" w:cstheme="majorHAnsi"/>
                <w:sz w:val="21"/>
                <w:szCs w:val="21"/>
              </w:rPr>
              <w:t xml:space="preserve"> </w:t>
            </w:r>
          </w:p>
          <w:p w14:paraId="7D39BC80" w14:textId="6689D831" w:rsidR="0039752D" w:rsidRPr="008251B4" w:rsidRDefault="00CD7EB5" w:rsidP="00090448">
            <w:pPr>
              <w:pStyle w:val="ListParagraph"/>
              <w:numPr>
                <w:ilvl w:val="0"/>
                <w:numId w:val="39"/>
              </w:numPr>
              <w:rPr>
                <w:rFonts w:asciiTheme="majorHAnsi" w:hAnsiTheme="majorHAnsi" w:cstheme="majorHAnsi"/>
                <w:sz w:val="21"/>
                <w:szCs w:val="21"/>
              </w:rPr>
            </w:pPr>
            <w:r w:rsidRPr="008251B4">
              <w:rPr>
                <w:rFonts w:asciiTheme="majorHAnsi" w:hAnsiTheme="majorHAnsi" w:cstheme="majorHAnsi"/>
                <w:sz w:val="21"/>
                <w:szCs w:val="21"/>
              </w:rPr>
              <w:t xml:space="preserve">Works closely with outgoing and incoming </w:t>
            </w:r>
            <w:r w:rsidR="00DA5D6A" w:rsidRPr="008251B4">
              <w:rPr>
                <w:rFonts w:asciiTheme="majorHAnsi" w:hAnsiTheme="majorHAnsi" w:cstheme="majorHAnsi"/>
                <w:sz w:val="21"/>
                <w:szCs w:val="21"/>
              </w:rPr>
              <w:t>administrations during presidential election cycles</w:t>
            </w:r>
            <w:r w:rsidR="00C47180" w:rsidRPr="008251B4">
              <w:rPr>
                <w:rFonts w:asciiTheme="majorHAnsi" w:hAnsiTheme="majorHAnsi" w:cstheme="majorHAnsi"/>
                <w:sz w:val="21"/>
                <w:szCs w:val="21"/>
              </w:rPr>
              <w:t>.</w:t>
            </w:r>
          </w:p>
          <w:p w14:paraId="1658772C" w14:textId="44338316" w:rsidR="0039752D" w:rsidRPr="008251B4" w:rsidRDefault="00661AE5" w:rsidP="00DD7DFC">
            <w:pPr>
              <w:ind w:left="72"/>
              <w:jc w:val="center"/>
              <w:rPr>
                <w:rFonts w:asciiTheme="majorHAnsi" w:hAnsiTheme="majorHAnsi" w:cstheme="majorHAnsi"/>
                <w:sz w:val="21"/>
                <w:szCs w:val="21"/>
              </w:rPr>
            </w:pPr>
            <w:r w:rsidRPr="008251B4">
              <w:rPr>
                <w:rFonts w:asciiTheme="majorHAnsi" w:hAnsiTheme="majorHAnsi" w:cstheme="majorHAnsi"/>
                <w:sz w:val="21"/>
                <w:szCs w:val="21"/>
              </w:rPr>
              <w:t>[</w:t>
            </w:r>
            <w:r w:rsidR="00CD7EB5" w:rsidRPr="008251B4">
              <w:rPr>
                <w:rFonts w:asciiTheme="majorHAnsi" w:hAnsiTheme="majorHAnsi" w:cstheme="majorHAnsi"/>
                <w:sz w:val="21"/>
                <w:szCs w:val="21"/>
              </w:rPr>
              <w:t xml:space="preserve">Other </w:t>
            </w:r>
            <w:r w:rsidR="00DA5D6A" w:rsidRPr="008251B4">
              <w:rPr>
                <w:rFonts w:asciiTheme="majorHAnsi" w:hAnsiTheme="majorHAnsi" w:cstheme="majorHAnsi"/>
                <w:sz w:val="21"/>
                <w:szCs w:val="21"/>
              </w:rPr>
              <w:t xml:space="preserve">strategic goals and priorities </w:t>
            </w:r>
            <w:r w:rsidR="00CD7EB5" w:rsidRPr="008251B4">
              <w:rPr>
                <w:rFonts w:asciiTheme="majorHAnsi" w:hAnsiTheme="majorHAnsi" w:cstheme="majorHAnsi"/>
                <w:sz w:val="21"/>
                <w:szCs w:val="21"/>
              </w:rPr>
              <w:t>d</w:t>
            </w:r>
            <w:r w:rsidR="005D5F5A" w:rsidRPr="008251B4">
              <w:rPr>
                <w:rFonts w:asciiTheme="majorHAnsi" w:hAnsiTheme="majorHAnsi" w:cstheme="majorHAnsi"/>
                <w:sz w:val="21"/>
                <w:szCs w:val="21"/>
              </w:rPr>
              <w:t>epend on the policy priorities of the administration</w:t>
            </w:r>
            <w:r w:rsidRPr="008251B4">
              <w:rPr>
                <w:rFonts w:asciiTheme="majorHAnsi" w:hAnsiTheme="majorHAnsi" w:cstheme="majorHAnsi"/>
                <w:sz w:val="21"/>
                <w:szCs w:val="21"/>
              </w:rPr>
              <w:t>]</w:t>
            </w:r>
          </w:p>
        </w:tc>
      </w:tr>
      <w:tr w:rsidR="00676FF6" w:rsidRPr="00676FF6" w14:paraId="43F26BF9" w14:textId="77777777" w:rsidTr="0052183C">
        <w:trPr>
          <w:jc w:val="center"/>
        </w:trPr>
        <w:tc>
          <w:tcPr>
            <w:tcW w:w="9645"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6D77D64" w14:textId="77777777" w:rsidR="00661AE5" w:rsidRPr="008251B4" w:rsidRDefault="00661AE5" w:rsidP="00B64A22">
            <w:pPr>
              <w:jc w:val="center"/>
              <w:rPr>
                <w:rFonts w:asciiTheme="majorHAnsi" w:hAnsiTheme="majorHAnsi" w:cstheme="majorHAnsi"/>
                <w:b/>
                <w:sz w:val="21"/>
                <w:szCs w:val="21"/>
              </w:rPr>
            </w:pPr>
            <w:r w:rsidRPr="008251B4">
              <w:rPr>
                <w:rFonts w:asciiTheme="majorHAnsi" w:hAnsiTheme="majorHAnsi" w:cstheme="majorHAnsi"/>
                <w:b/>
                <w:sz w:val="21"/>
                <w:szCs w:val="21"/>
              </w:rPr>
              <w:t>REQUIREMENTS AND COMPETENCIES</w:t>
            </w:r>
          </w:p>
        </w:tc>
      </w:tr>
      <w:tr w:rsidR="00676FF6" w:rsidRPr="00676FF6" w14:paraId="223CD296"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6251908" w14:textId="77777777" w:rsidR="00661AE5" w:rsidRPr="008251B4" w:rsidRDefault="00661AE5" w:rsidP="004E1C64">
            <w:pPr>
              <w:rPr>
                <w:rFonts w:asciiTheme="majorHAnsi" w:hAnsiTheme="majorHAnsi" w:cstheme="majorHAnsi"/>
                <w:sz w:val="21"/>
                <w:szCs w:val="21"/>
              </w:rPr>
            </w:pPr>
            <w:r w:rsidRPr="008251B4">
              <w:rPr>
                <w:rFonts w:asciiTheme="majorHAnsi" w:hAnsiTheme="majorHAnsi" w:cstheme="majorHAnsi"/>
                <w:sz w:val="21"/>
                <w:szCs w:val="21"/>
              </w:rPr>
              <w:t>Requirements</w:t>
            </w:r>
          </w:p>
        </w:tc>
        <w:tc>
          <w:tcPr>
            <w:tcW w:w="6791" w:type="dxa"/>
            <w:tcBorders>
              <w:top w:val="single" w:sz="2" w:space="0" w:color="auto"/>
              <w:left w:val="single" w:sz="2" w:space="0" w:color="auto"/>
              <w:bottom w:val="single" w:sz="2" w:space="0" w:color="auto"/>
              <w:right w:val="single" w:sz="2" w:space="0" w:color="auto"/>
            </w:tcBorders>
          </w:tcPr>
          <w:p w14:paraId="183E1F20" w14:textId="4C04C6DF" w:rsidR="0084029F" w:rsidRPr="008251B4" w:rsidRDefault="00DA5D6A" w:rsidP="0084029F">
            <w:pPr>
              <w:pStyle w:val="ListParagraph"/>
              <w:numPr>
                <w:ilvl w:val="0"/>
                <w:numId w:val="37"/>
              </w:numPr>
              <w:ind w:left="432"/>
              <w:rPr>
                <w:rFonts w:asciiTheme="majorHAnsi" w:hAnsiTheme="majorHAnsi" w:cstheme="majorHAnsi"/>
                <w:bCs/>
                <w:sz w:val="21"/>
                <w:szCs w:val="21"/>
              </w:rPr>
            </w:pPr>
            <w:r w:rsidRPr="008251B4">
              <w:rPr>
                <w:rFonts w:asciiTheme="majorHAnsi" w:hAnsiTheme="majorHAnsi" w:cstheme="majorHAnsi"/>
                <w:bCs/>
                <w:sz w:val="21"/>
                <w:szCs w:val="21"/>
              </w:rPr>
              <w:t>Some background in law and/or ethics and prior experience with the executive branch ethics program (beneficial)</w:t>
            </w:r>
            <w:r w:rsidR="00C47180" w:rsidRPr="008251B4">
              <w:rPr>
                <w:rFonts w:asciiTheme="majorHAnsi" w:hAnsiTheme="majorHAnsi" w:cstheme="majorHAnsi"/>
                <w:bCs/>
                <w:sz w:val="21"/>
                <w:szCs w:val="21"/>
              </w:rPr>
              <w:t>.</w:t>
            </w:r>
          </w:p>
        </w:tc>
      </w:tr>
      <w:tr w:rsidR="00676FF6" w:rsidRPr="00676FF6" w14:paraId="7880511A" w14:textId="77777777" w:rsidTr="0052183C">
        <w:trPr>
          <w:jc w:val="center"/>
        </w:trPr>
        <w:tc>
          <w:tcPr>
            <w:tcW w:w="285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26794AB" w14:textId="77777777" w:rsidR="00661AE5" w:rsidRPr="008251B4" w:rsidRDefault="00661AE5" w:rsidP="004E1C64">
            <w:pPr>
              <w:rPr>
                <w:rFonts w:asciiTheme="majorHAnsi" w:hAnsiTheme="majorHAnsi" w:cstheme="majorHAnsi"/>
                <w:sz w:val="21"/>
                <w:szCs w:val="21"/>
              </w:rPr>
            </w:pPr>
            <w:r w:rsidRPr="008251B4">
              <w:rPr>
                <w:rFonts w:asciiTheme="majorHAnsi" w:hAnsiTheme="majorHAnsi" w:cstheme="majorHAnsi"/>
                <w:sz w:val="21"/>
                <w:szCs w:val="21"/>
              </w:rPr>
              <w:t>Competencies</w:t>
            </w:r>
          </w:p>
        </w:tc>
        <w:tc>
          <w:tcPr>
            <w:tcW w:w="6791" w:type="dxa"/>
            <w:tcBorders>
              <w:top w:val="single" w:sz="2" w:space="0" w:color="auto"/>
              <w:left w:val="single" w:sz="2" w:space="0" w:color="auto"/>
              <w:bottom w:val="single" w:sz="2" w:space="0" w:color="auto"/>
              <w:right w:val="single" w:sz="2" w:space="0" w:color="auto"/>
            </w:tcBorders>
          </w:tcPr>
          <w:p w14:paraId="151426D6" w14:textId="6E4E2D9A" w:rsidR="00CD7EB5" w:rsidRPr="008251B4" w:rsidRDefault="005402C0" w:rsidP="00DA5D6A">
            <w:pPr>
              <w:pStyle w:val="ListParagraph"/>
              <w:numPr>
                <w:ilvl w:val="0"/>
                <w:numId w:val="38"/>
              </w:numPr>
              <w:ind w:left="432"/>
              <w:rPr>
                <w:rFonts w:asciiTheme="majorHAnsi" w:hAnsiTheme="majorHAnsi" w:cstheme="majorHAnsi"/>
                <w:bCs/>
                <w:sz w:val="21"/>
                <w:szCs w:val="21"/>
              </w:rPr>
            </w:pPr>
            <w:r w:rsidRPr="008251B4">
              <w:rPr>
                <w:rFonts w:asciiTheme="majorHAnsi" w:hAnsiTheme="majorHAnsi" w:cstheme="majorHAnsi"/>
                <w:bCs/>
                <w:sz w:val="21"/>
                <w:szCs w:val="21"/>
              </w:rPr>
              <w:t>High degree of skill in managing both programs and personnel</w:t>
            </w:r>
            <w:r w:rsidR="00C47180" w:rsidRPr="008251B4">
              <w:rPr>
                <w:rFonts w:asciiTheme="majorHAnsi" w:hAnsiTheme="majorHAnsi" w:cstheme="majorHAnsi"/>
                <w:bCs/>
                <w:sz w:val="21"/>
                <w:szCs w:val="21"/>
              </w:rPr>
              <w:t>.</w:t>
            </w:r>
            <w:r w:rsidRPr="008251B4">
              <w:rPr>
                <w:rStyle w:val="EndnoteReference"/>
                <w:rFonts w:asciiTheme="majorHAnsi" w:hAnsiTheme="majorHAnsi" w:cstheme="majorHAnsi"/>
                <w:bCs/>
                <w:sz w:val="21"/>
                <w:szCs w:val="21"/>
              </w:rPr>
              <w:endnoteReference w:id="7"/>
            </w:r>
          </w:p>
          <w:p w14:paraId="020442B8" w14:textId="48386FEB" w:rsidR="0084029F" w:rsidRPr="008251B4" w:rsidRDefault="0084029F" w:rsidP="00DA5D6A">
            <w:pPr>
              <w:pStyle w:val="ListParagraph"/>
              <w:numPr>
                <w:ilvl w:val="0"/>
                <w:numId w:val="38"/>
              </w:numPr>
              <w:ind w:left="432"/>
              <w:rPr>
                <w:rFonts w:asciiTheme="majorHAnsi" w:hAnsiTheme="majorHAnsi" w:cstheme="majorHAnsi"/>
                <w:bCs/>
                <w:sz w:val="21"/>
                <w:szCs w:val="21"/>
              </w:rPr>
            </w:pPr>
            <w:r w:rsidRPr="008251B4">
              <w:rPr>
                <w:rFonts w:asciiTheme="majorHAnsi" w:hAnsiTheme="majorHAnsi" w:cstheme="majorHAnsi"/>
                <w:bCs/>
                <w:sz w:val="21"/>
                <w:szCs w:val="21"/>
              </w:rPr>
              <w:t>High degree of integrity</w:t>
            </w:r>
            <w:r w:rsidR="00C47180" w:rsidRPr="008251B4">
              <w:rPr>
                <w:rFonts w:asciiTheme="majorHAnsi" w:hAnsiTheme="majorHAnsi" w:cstheme="majorHAnsi"/>
                <w:bCs/>
                <w:sz w:val="21"/>
                <w:szCs w:val="21"/>
              </w:rPr>
              <w:t>.</w:t>
            </w:r>
          </w:p>
        </w:tc>
      </w:tr>
      <w:tr w:rsidR="00676FF6" w:rsidRPr="00676FF6" w14:paraId="36CE55D8" w14:textId="77777777" w:rsidTr="0052183C">
        <w:trPr>
          <w:jc w:val="center"/>
        </w:trPr>
        <w:tc>
          <w:tcPr>
            <w:tcW w:w="9645"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B43E7E" w14:textId="77777777" w:rsidR="00661AE5" w:rsidRPr="008251B4" w:rsidRDefault="00661AE5" w:rsidP="00B64A22">
            <w:pPr>
              <w:jc w:val="center"/>
              <w:rPr>
                <w:rFonts w:asciiTheme="majorHAnsi" w:hAnsiTheme="majorHAnsi" w:cstheme="majorHAnsi"/>
                <w:b/>
                <w:sz w:val="21"/>
                <w:szCs w:val="21"/>
              </w:rPr>
            </w:pPr>
            <w:r w:rsidRPr="008251B4">
              <w:rPr>
                <w:rFonts w:asciiTheme="majorHAnsi" w:hAnsiTheme="majorHAnsi" w:cstheme="majorHAnsi"/>
                <w:b/>
                <w:sz w:val="21"/>
                <w:szCs w:val="21"/>
              </w:rPr>
              <w:t>PAST APPOINTEES</w:t>
            </w:r>
          </w:p>
        </w:tc>
      </w:tr>
      <w:tr w:rsidR="127A5945" w14:paraId="37BF71AA" w14:textId="77777777" w:rsidTr="0052183C">
        <w:trPr>
          <w:trHeight w:val="621"/>
          <w:jc w:val="center"/>
        </w:trPr>
        <w:tc>
          <w:tcPr>
            <w:tcW w:w="9645" w:type="dxa"/>
            <w:gridSpan w:val="2"/>
            <w:tcBorders>
              <w:top w:val="single" w:sz="2" w:space="0" w:color="auto"/>
              <w:left w:val="single" w:sz="2" w:space="0" w:color="auto"/>
              <w:bottom w:val="single" w:sz="2" w:space="0" w:color="auto"/>
              <w:right w:val="single" w:sz="2" w:space="0" w:color="auto"/>
            </w:tcBorders>
          </w:tcPr>
          <w:p w14:paraId="263E7C88" w14:textId="352121EB" w:rsidR="03FDDCB2" w:rsidRPr="008251B4" w:rsidRDefault="03FDDCB2" w:rsidP="127A5945">
            <w:pPr>
              <w:rPr>
                <w:rFonts w:asciiTheme="majorHAnsi" w:hAnsiTheme="majorHAnsi" w:cstheme="majorBidi"/>
                <w:sz w:val="21"/>
                <w:szCs w:val="21"/>
              </w:rPr>
            </w:pPr>
            <w:r w:rsidRPr="008251B4">
              <w:rPr>
                <w:rFonts w:asciiTheme="majorHAnsi" w:hAnsiTheme="majorHAnsi" w:cstheme="majorBidi"/>
                <w:sz w:val="21"/>
                <w:szCs w:val="21"/>
              </w:rPr>
              <w:t>Emory A. Rounds III (2018 to present):</w:t>
            </w:r>
            <w:r w:rsidR="5E1E1A01" w:rsidRPr="008251B4">
              <w:rPr>
                <w:rFonts w:asciiTheme="majorHAnsi" w:hAnsiTheme="majorHAnsi" w:cstheme="majorBidi"/>
                <w:sz w:val="21"/>
                <w:szCs w:val="21"/>
              </w:rPr>
              <w:t xml:space="preserve"> Associate General Counsel, OGE; Acting Chief of the Internal Operations Division, OGE, Special Assistant to the Acting Director, OGE</w:t>
            </w:r>
          </w:p>
        </w:tc>
      </w:tr>
      <w:tr w:rsidR="00676FF6" w:rsidRPr="00676FF6" w14:paraId="77A0887D" w14:textId="77777777" w:rsidTr="0052183C">
        <w:trPr>
          <w:trHeight w:val="621"/>
          <w:jc w:val="center"/>
        </w:trPr>
        <w:tc>
          <w:tcPr>
            <w:tcW w:w="9645" w:type="dxa"/>
            <w:gridSpan w:val="2"/>
            <w:tcBorders>
              <w:top w:val="single" w:sz="2" w:space="0" w:color="auto"/>
              <w:left w:val="single" w:sz="2" w:space="0" w:color="auto"/>
              <w:bottom w:val="single" w:sz="2" w:space="0" w:color="auto"/>
              <w:right w:val="single" w:sz="2" w:space="0" w:color="auto"/>
            </w:tcBorders>
          </w:tcPr>
          <w:p w14:paraId="24C012DE" w14:textId="544F1B30" w:rsidR="00BE379B" w:rsidRPr="008251B4" w:rsidRDefault="008A3D83" w:rsidP="127A5945">
            <w:pPr>
              <w:rPr>
                <w:rFonts w:asciiTheme="majorHAnsi" w:hAnsiTheme="majorHAnsi" w:cstheme="majorBidi"/>
                <w:sz w:val="21"/>
                <w:szCs w:val="21"/>
              </w:rPr>
            </w:pPr>
            <w:r w:rsidRPr="008251B4">
              <w:rPr>
                <w:rFonts w:asciiTheme="majorHAnsi" w:hAnsiTheme="majorHAnsi" w:cstheme="majorBidi"/>
                <w:sz w:val="21"/>
                <w:szCs w:val="21"/>
              </w:rPr>
              <w:t>Walter M. Shaub Jr. (2013 to 2017): Deputy General Counsel, OGE; Program Manager (Nominee Financial Disclosure), OGE; Deputy General Counsel for Financial Disclosure, OGE</w:t>
            </w:r>
          </w:p>
        </w:tc>
      </w:tr>
      <w:tr w:rsidR="003A0E56" w:rsidRPr="00676FF6" w14:paraId="162D80C8" w14:textId="77777777" w:rsidTr="0052183C">
        <w:trPr>
          <w:trHeight w:val="32"/>
          <w:jc w:val="center"/>
        </w:trPr>
        <w:tc>
          <w:tcPr>
            <w:tcW w:w="9645" w:type="dxa"/>
            <w:gridSpan w:val="2"/>
            <w:tcBorders>
              <w:top w:val="single" w:sz="2" w:space="0" w:color="auto"/>
              <w:left w:val="single" w:sz="2" w:space="0" w:color="auto"/>
              <w:bottom w:val="single" w:sz="2" w:space="0" w:color="auto"/>
              <w:right w:val="single" w:sz="2" w:space="0" w:color="auto"/>
            </w:tcBorders>
          </w:tcPr>
          <w:p w14:paraId="64A12C4D" w14:textId="7FEA2309" w:rsidR="003A0E56" w:rsidRPr="008251B4" w:rsidRDefault="003A0E56" w:rsidP="55E9772B">
            <w:pPr>
              <w:rPr>
                <w:rFonts w:asciiTheme="majorHAnsi" w:hAnsiTheme="majorHAnsi" w:cstheme="majorBidi"/>
                <w:sz w:val="21"/>
                <w:szCs w:val="21"/>
              </w:rPr>
            </w:pPr>
            <w:r w:rsidRPr="008251B4">
              <w:rPr>
                <w:rFonts w:asciiTheme="majorHAnsi" w:hAnsiTheme="majorHAnsi" w:cstheme="majorBidi"/>
                <w:sz w:val="21"/>
                <w:szCs w:val="21"/>
              </w:rPr>
              <w:t>Don Fox (2011 to 2013, acting): General Counsel and Principal Deputy Director, OGE; Deputy General Counsel</w:t>
            </w:r>
            <w:r w:rsidR="002735CC" w:rsidRPr="008251B4">
              <w:rPr>
                <w:rFonts w:asciiTheme="majorHAnsi" w:hAnsiTheme="majorHAnsi" w:cstheme="majorBidi"/>
                <w:sz w:val="21"/>
                <w:szCs w:val="21"/>
              </w:rPr>
              <w:t xml:space="preserve"> and Deputy Designated Ethics Official</w:t>
            </w:r>
            <w:r w:rsidR="00DA5D6A" w:rsidRPr="008251B4">
              <w:rPr>
                <w:rFonts w:asciiTheme="majorHAnsi" w:hAnsiTheme="majorHAnsi" w:cstheme="majorBidi"/>
                <w:sz w:val="21"/>
                <w:szCs w:val="21"/>
              </w:rPr>
              <w:t>,</w:t>
            </w:r>
            <w:r w:rsidRPr="008251B4">
              <w:rPr>
                <w:rFonts w:asciiTheme="majorHAnsi" w:hAnsiTheme="majorHAnsi" w:cstheme="majorBidi"/>
                <w:sz w:val="21"/>
                <w:szCs w:val="21"/>
              </w:rPr>
              <w:t xml:space="preserve"> </w:t>
            </w:r>
            <w:r w:rsidR="002735CC" w:rsidRPr="008251B4">
              <w:rPr>
                <w:rFonts w:asciiTheme="majorHAnsi" w:hAnsiTheme="majorHAnsi" w:cstheme="majorBidi"/>
                <w:sz w:val="21"/>
                <w:szCs w:val="21"/>
              </w:rPr>
              <w:t xml:space="preserve">Department of the </w:t>
            </w:r>
            <w:r w:rsidRPr="008251B4">
              <w:rPr>
                <w:rFonts w:asciiTheme="majorHAnsi" w:hAnsiTheme="majorHAnsi" w:cstheme="majorBidi"/>
                <w:sz w:val="21"/>
                <w:szCs w:val="21"/>
              </w:rPr>
              <w:t xml:space="preserve">Air Force; Associate General Counsel, </w:t>
            </w:r>
            <w:r w:rsidR="002735CC" w:rsidRPr="008251B4">
              <w:rPr>
                <w:rFonts w:asciiTheme="majorHAnsi" w:hAnsiTheme="majorHAnsi" w:cstheme="majorBidi"/>
                <w:sz w:val="21"/>
                <w:szCs w:val="21"/>
              </w:rPr>
              <w:t xml:space="preserve">Department of the </w:t>
            </w:r>
            <w:r w:rsidRPr="008251B4">
              <w:rPr>
                <w:rFonts w:asciiTheme="majorHAnsi" w:hAnsiTheme="majorHAnsi" w:cstheme="majorBidi"/>
                <w:sz w:val="21"/>
                <w:szCs w:val="21"/>
              </w:rPr>
              <w:t>Air Force</w:t>
            </w:r>
          </w:p>
        </w:tc>
      </w:tr>
      <w:tr w:rsidR="00676FF6" w:rsidRPr="00676FF6" w14:paraId="54675714" w14:textId="77777777" w:rsidTr="0052183C">
        <w:trPr>
          <w:jc w:val="center"/>
        </w:trPr>
        <w:tc>
          <w:tcPr>
            <w:tcW w:w="9645" w:type="dxa"/>
            <w:gridSpan w:val="2"/>
            <w:tcBorders>
              <w:top w:val="single" w:sz="2" w:space="0" w:color="auto"/>
              <w:left w:val="single" w:sz="2" w:space="0" w:color="auto"/>
              <w:bottom w:val="single" w:sz="4" w:space="0" w:color="auto"/>
              <w:right w:val="single" w:sz="2" w:space="0" w:color="auto"/>
            </w:tcBorders>
          </w:tcPr>
          <w:p w14:paraId="6AB24754" w14:textId="0C14400E" w:rsidR="00BE379B" w:rsidRPr="008251B4" w:rsidRDefault="008A3D83" w:rsidP="55E9772B">
            <w:pPr>
              <w:rPr>
                <w:rFonts w:asciiTheme="majorHAnsi" w:hAnsiTheme="majorHAnsi" w:cstheme="majorBidi"/>
                <w:sz w:val="21"/>
                <w:szCs w:val="21"/>
              </w:rPr>
            </w:pPr>
            <w:r w:rsidRPr="008251B4">
              <w:rPr>
                <w:rFonts w:asciiTheme="majorHAnsi" w:hAnsiTheme="majorHAnsi" w:cstheme="majorBidi"/>
                <w:sz w:val="21"/>
                <w:szCs w:val="21"/>
              </w:rPr>
              <w:t>Robert Irwin Cusick, Jr. (2006 to 2011): Partner in charge of Ethics Counseling at Wyatt Tarrant Combs law firm; Bar Governor of the Kentucky Bar Association; Chairman of the Ethics 2000 Project; Chair of the Jefferson County Ethics Commission</w:t>
            </w:r>
          </w:p>
        </w:tc>
      </w:tr>
      <w:bookmarkEnd w:id="0"/>
    </w:tbl>
    <w:p w14:paraId="0A2D4ABB" w14:textId="77777777" w:rsidR="00D070C4" w:rsidRPr="00D56177" w:rsidRDefault="00D070C4">
      <w:pPr>
        <w:rPr>
          <w:rFonts w:asciiTheme="majorHAnsi" w:hAnsiTheme="majorHAnsi" w:cstheme="majorHAnsi"/>
        </w:rPr>
      </w:pPr>
    </w:p>
    <w:sectPr w:rsidR="00D070C4" w:rsidRPr="00D56177" w:rsidSect="00DD7DFC">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7050" w14:textId="77777777" w:rsidR="006A5796" w:rsidRDefault="006A5796" w:rsidP="001E22F1">
      <w:r>
        <w:separator/>
      </w:r>
    </w:p>
  </w:endnote>
  <w:endnote w:type="continuationSeparator" w:id="0">
    <w:p w14:paraId="69BCF56C" w14:textId="77777777" w:rsidR="006A5796" w:rsidRDefault="006A5796" w:rsidP="001E22F1">
      <w:r>
        <w:continuationSeparator/>
      </w:r>
    </w:p>
  </w:endnote>
  <w:endnote w:id="1">
    <w:p w14:paraId="242C683B" w14:textId="77777777" w:rsidR="00317618" w:rsidRDefault="00317618">
      <w:pPr>
        <w:pStyle w:val="EndnoteText"/>
      </w:pPr>
      <w:r>
        <w:rPr>
          <w:rStyle w:val="EndnoteReference"/>
        </w:rPr>
        <w:endnoteRef/>
      </w:r>
      <w:r>
        <w:t xml:space="preserve"> Congress.gov</w:t>
      </w:r>
    </w:p>
  </w:endnote>
  <w:endnote w:id="2">
    <w:p w14:paraId="326EA79B" w14:textId="77777777" w:rsidR="00DA5D6A" w:rsidRDefault="00DA5D6A" w:rsidP="00DA5D6A">
      <w:pPr>
        <w:pStyle w:val="EndnoteText"/>
      </w:pPr>
      <w:r>
        <w:rPr>
          <w:rStyle w:val="EndnoteReference"/>
        </w:rPr>
        <w:endnoteRef/>
      </w:r>
      <w:r>
        <w:t xml:space="preserve"> </w:t>
      </w:r>
      <w:r w:rsidRPr="00317618">
        <w:t>https://www.oge.gov/web/oge.nsf/Mission%20and%20Responsibilities</w:t>
      </w:r>
    </w:p>
  </w:endnote>
  <w:endnote w:id="3">
    <w:p w14:paraId="7188483D" w14:textId="77777777" w:rsidR="00317618" w:rsidRDefault="00317618">
      <w:pPr>
        <w:pStyle w:val="EndnoteText"/>
      </w:pPr>
      <w:r>
        <w:rPr>
          <w:rStyle w:val="EndnoteReference"/>
        </w:rPr>
        <w:endnoteRef/>
      </w:r>
      <w:r>
        <w:t xml:space="preserve"> OPM position description</w:t>
      </w:r>
    </w:p>
  </w:endnote>
  <w:endnote w:id="4">
    <w:p w14:paraId="14483656" w14:textId="2962383A" w:rsidR="00EA3278" w:rsidRDefault="00EA3278">
      <w:pPr>
        <w:pStyle w:val="EndnoteText"/>
      </w:pPr>
      <w:r>
        <w:rPr>
          <w:rStyle w:val="EndnoteReference"/>
        </w:rPr>
        <w:endnoteRef/>
      </w:r>
      <w:r>
        <w:t xml:space="preserve"> </w:t>
      </w:r>
      <w:r w:rsidR="003235C6" w:rsidRPr="003235C6">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endnote>
  <w:endnote w:id="5">
    <w:p w14:paraId="0BE435BE" w14:textId="058A58C4" w:rsidR="00DA5D6A" w:rsidRDefault="00DA5D6A">
      <w:pPr>
        <w:pStyle w:val="EndnoteText"/>
      </w:pPr>
      <w:r>
        <w:rPr>
          <w:rStyle w:val="EndnoteReference"/>
        </w:rPr>
        <w:endnoteRef/>
      </w:r>
      <w:r>
        <w:t xml:space="preserve"> </w:t>
      </w:r>
      <w:r w:rsidRPr="00DA5D6A">
        <w:t>https://www.oge.gov/Web/OGE.nsf/Resources/Budget+and+Appropriations</w:t>
      </w:r>
    </w:p>
  </w:endnote>
  <w:endnote w:id="6">
    <w:p w14:paraId="48816EE9" w14:textId="77777777" w:rsidR="005402C0" w:rsidRDefault="005402C0">
      <w:pPr>
        <w:pStyle w:val="EndnoteText"/>
      </w:pPr>
      <w:r>
        <w:rPr>
          <w:rStyle w:val="EndnoteReference"/>
        </w:rPr>
        <w:endnoteRef/>
      </w:r>
      <w:r>
        <w:t xml:space="preserve"> OPM position description</w:t>
      </w:r>
    </w:p>
  </w:endnote>
  <w:endnote w:id="7">
    <w:p w14:paraId="2888AFB2" w14:textId="77777777" w:rsidR="005402C0" w:rsidRDefault="005402C0">
      <w:pPr>
        <w:pStyle w:val="EndnoteText"/>
      </w:pPr>
      <w:r>
        <w:rPr>
          <w:rStyle w:val="EndnoteReference"/>
        </w:rPr>
        <w:endnoteRef/>
      </w:r>
      <w:r>
        <w:t xml:space="preserve"> OPM position description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C36E"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72D79"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5A0F" w14:textId="3381B3D1" w:rsidR="00B64A22" w:rsidRPr="00B64A22" w:rsidRDefault="00B64A2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26B6" w14:textId="76973C80" w:rsidR="00661AE5" w:rsidRPr="003606D7" w:rsidRDefault="003606D7" w:rsidP="003606D7">
    <w:pPr>
      <w:pStyle w:val="Footer"/>
      <w:tabs>
        <w:tab w:val="clear" w:pos="4680"/>
      </w:tabs>
      <w:ind w:right="-216"/>
      <w:jc w:val="right"/>
      <w:rPr>
        <w:sz w:val="16"/>
        <w:szCs w:val="14"/>
      </w:rPr>
    </w:pPr>
    <w:r w:rsidRPr="002531C5">
      <w:rPr>
        <w:rFonts w:ascii="Arial" w:hAnsi="Arial" w:cs="Arial"/>
        <w:sz w:val="16"/>
        <w:szCs w:val="14"/>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FCBC" w14:textId="77777777" w:rsidR="006A5796" w:rsidRDefault="006A5796" w:rsidP="001E22F1">
      <w:r>
        <w:separator/>
      </w:r>
    </w:p>
  </w:footnote>
  <w:footnote w:type="continuationSeparator" w:id="0">
    <w:p w14:paraId="111F92D6" w14:textId="77777777" w:rsidR="006A5796" w:rsidRDefault="006A5796"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D39F" w14:textId="77777777" w:rsidR="00B64A22" w:rsidRPr="00CA0F50" w:rsidRDefault="008251B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50DC" w14:textId="341177BB" w:rsidR="00B64A22" w:rsidRPr="00207063" w:rsidRDefault="5EAFF6CB" w:rsidP="00DD7DFC">
    <w:pPr>
      <w:pStyle w:val="Header"/>
      <w:tabs>
        <w:tab w:val="clear" w:pos="4680"/>
      </w:tabs>
    </w:pPr>
    <w:r>
      <w:rPr>
        <w:noProof/>
      </w:rPr>
      <w:drawing>
        <wp:inline distT="0" distB="0" distL="0" distR="0" wp14:anchorId="0BB7256B" wp14:editId="2ABFDC3D">
          <wp:extent cx="3714750" cy="409575"/>
          <wp:effectExtent l="0" t="0" r="0" b="0"/>
          <wp:docPr id="1418403209" name="Picture 141840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14750" cy="409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8665" w14:textId="1F5ABF81" w:rsidR="004A76E5" w:rsidRDefault="004A76E5" w:rsidP="004A76E5">
    <w:pPr>
      <w:pStyle w:val="Header"/>
      <w:tabs>
        <w:tab w:val="clear" w:pos="9360"/>
        <w:tab w:val="right" w:pos="8820"/>
      </w:tabs>
      <w:rPr>
        <w:noProof/>
      </w:rPr>
    </w:pPr>
  </w:p>
  <w:p w14:paraId="6D901E93" w14:textId="777173F4" w:rsidR="004A76E5" w:rsidRDefault="00DD7DFC" w:rsidP="004A76E5">
    <w:pPr>
      <w:pStyle w:val="Header"/>
      <w:tabs>
        <w:tab w:val="clear" w:pos="9360"/>
        <w:tab w:val="right" w:pos="8820"/>
      </w:tabs>
      <w:rPr>
        <w:noProof/>
      </w:rPr>
    </w:pPr>
    <w:r>
      <w:rPr>
        <w:noProof/>
      </w:rPr>
      <w:drawing>
        <wp:anchor distT="0" distB="0" distL="114300" distR="114300" simplePos="0" relativeHeight="251658240" behindDoc="1" locked="0" layoutInCell="1" allowOverlap="1" wp14:anchorId="0CA88381" wp14:editId="28D87C5A">
          <wp:simplePos x="0" y="0"/>
          <wp:positionH relativeFrom="column">
            <wp:posOffset>-365760</wp:posOffset>
          </wp:positionH>
          <wp:positionV relativeFrom="paragraph">
            <wp:posOffset>144145</wp:posOffset>
          </wp:positionV>
          <wp:extent cx="3714750" cy="409575"/>
          <wp:effectExtent l="0" t="0" r="0" b="9525"/>
          <wp:wrapTight wrapText="bothSides">
            <wp:wrapPolygon edited="0">
              <wp:start x="1662" y="0"/>
              <wp:lineTo x="0" y="3014"/>
              <wp:lineTo x="0" y="21098"/>
              <wp:lineTo x="8418" y="21098"/>
              <wp:lineTo x="21489" y="21098"/>
              <wp:lineTo x="21489" y="12056"/>
              <wp:lineTo x="2326" y="0"/>
              <wp:lineTo x="1662" y="0"/>
            </wp:wrapPolygon>
          </wp:wrapTight>
          <wp:docPr id="312633649" name="Picture 31263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14750" cy="409575"/>
                  </a:xfrm>
                  <a:prstGeom prst="rect">
                    <a:avLst/>
                  </a:prstGeom>
                </pic:spPr>
              </pic:pic>
            </a:graphicData>
          </a:graphic>
        </wp:anchor>
      </w:drawing>
    </w:r>
  </w:p>
  <w:p w14:paraId="0010836C" w14:textId="1DF8EAFA" w:rsidR="00B64A22" w:rsidRPr="004960D6" w:rsidRDefault="00B64A22" w:rsidP="00DD7DFC">
    <w:pPr>
      <w:pStyle w:val="Header"/>
      <w:tabs>
        <w:tab w:val="clear" w:pos="9360"/>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91C"/>
    <w:multiLevelType w:val="hybridMultilevel"/>
    <w:tmpl w:val="EA7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4F4A"/>
    <w:multiLevelType w:val="hybridMultilevel"/>
    <w:tmpl w:val="1EAE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334831"/>
    <w:multiLevelType w:val="hybridMultilevel"/>
    <w:tmpl w:val="7310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730C48"/>
    <w:multiLevelType w:val="hybridMultilevel"/>
    <w:tmpl w:val="AD24AA2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3"/>
  </w:num>
  <w:num w:numId="4">
    <w:abstractNumId w:val="38"/>
  </w:num>
  <w:num w:numId="5">
    <w:abstractNumId w:val="7"/>
  </w:num>
  <w:num w:numId="6">
    <w:abstractNumId w:val="34"/>
  </w:num>
  <w:num w:numId="7">
    <w:abstractNumId w:val="6"/>
  </w:num>
  <w:num w:numId="8">
    <w:abstractNumId w:val="30"/>
  </w:num>
  <w:num w:numId="9">
    <w:abstractNumId w:val="16"/>
  </w:num>
  <w:num w:numId="10">
    <w:abstractNumId w:val="8"/>
  </w:num>
  <w:num w:numId="11">
    <w:abstractNumId w:val="15"/>
  </w:num>
  <w:num w:numId="12">
    <w:abstractNumId w:val="23"/>
  </w:num>
  <w:num w:numId="13">
    <w:abstractNumId w:val="22"/>
  </w:num>
  <w:num w:numId="14">
    <w:abstractNumId w:val="24"/>
  </w:num>
  <w:num w:numId="15">
    <w:abstractNumId w:val="27"/>
  </w:num>
  <w:num w:numId="16">
    <w:abstractNumId w:val="3"/>
  </w:num>
  <w:num w:numId="17">
    <w:abstractNumId w:val="19"/>
  </w:num>
  <w:num w:numId="18">
    <w:abstractNumId w:val="33"/>
  </w:num>
  <w:num w:numId="19">
    <w:abstractNumId w:val="10"/>
  </w:num>
  <w:num w:numId="20">
    <w:abstractNumId w:val="26"/>
  </w:num>
  <w:num w:numId="21">
    <w:abstractNumId w:val="31"/>
  </w:num>
  <w:num w:numId="22">
    <w:abstractNumId w:val="12"/>
  </w:num>
  <w:num w:numId="23">
    <w:abstractNumId w:val="9"/>
  </w:num>
  <w:num w:numId="24">
    <w:abstractNumId w:val="32"/>
  </w:num>
  <w:num w:numId="25">
    <w:abstractNumId w:val="14"/>
  </w:num>
  <w:num w:numId="26">
    <w:abstractNumId w:val="4"/>
  </w:num>
  <w:num w:numId="27">
    <w:abstractNumId w:val="20"/>
  </w:num>
  <w:num w:numId="28">
    <w:abstractNumId w:val="17"/>
  </w:num>
  <w:num w:numId="29">
    <w:abstractNumId w:val="21"/>
  </w:num>
  <w:num w:numId="30">
    <w:abstractNumId w:val="29"/>
  </w:num>
  <w:num w:numId="31">
    <w:abstractNumId w:val="36"/>
  </w:num>
  <w:num w:numId="32">
    <w:abstractNumId w:val="37"/>
  </w:num>
  <w:num w:numId="33">
    <w:abstractNumId w:val="11"/>
  </w:num>
  <w:num w:numId="34">
    <w:abstractNumId w:val="2"/>
  </w:num>
  <w:num w:numId="35">
    <w:abstractNumId w:val="28"/>
  </w:num>
  <w:num w:numId="36">
    <w:abstractNumId w:val="1"/>
  </w:num>
  <w:num w:numId="37">
    <w:abstractNumId w:val="18"/>
  </w:num>
  <w:num w:numId="38">
    <w:abstractNumId w:val="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3B25"/>
    <w:rsid w:val="00016839"/>
    <w:rsid w:val="00017A44"/>
    <w:rsid w:val="00021B49"/>
    <w:rsid w:val="000221E0"/>
    <w:rsid w:val="00023CFC"/>
    <w:rsid w:val="000241CD"/>
    <w:rsid w:val="00034730"/>
    <w:rsid w:val="0004519C"/>
    <w:rsid w:val="00062282"/>
    <w:rsid w:val="0006648F"/>
    <w:rsid w:val="00073701"/>
    <w:rsid w:val="0007480D"/>
    <w:rsid w:val="00076645"/>
    <w:rsid w:val="00080E76"/>
    <w:rsid w:val="000846D6"/>
    <w:rsid w:val="0008706F"/>
    <w:rsid w:val="00087A28"/>
    <w:rsid w:val="00090448"/>
    <w:rsid w:val="00097215"/>
    <w:rsid w:val="000A0629"/>
    <w:rsid w:val="000A0658"/>
    <w:rsid w:val="000A0E94"/>
    <w:rsid w:val="000A35C6"/>
    <w:rsid w:val="000B0938"/>
    <w:rsid w:val="000B0F7D"/>
    <w:rsid w:val="000B3130"/>
    <w:rsid w:val="000B3BCB"/>
    <w:rsid w:val="000B5E2B"/>
    <w:rsid w:val="000C53FD"/>
    <w:rsid w:val="000D1780"/>
    <w:rsid w:val="000D1986"/>
    <w:rsid w:val="000D2778"/>
    <w:rsid w:val="000E0157"/>
    <w:rsid w:val="000E05E6"/>
    <w:rsid w:val="000E398B"/>
    <w:rsid w:val="000E399D"/>
    <w:rsid w:val="000F0F0A"/>
    <w:rsid w:val="000F2228"/>
    <w:rsid w:val="000F3659"/>
    <w:rsid w:val="000F3B5D"/>
    <w:rsid w:val="000F6976"/>
    <w:rsid w:val="000F69F1"/>
    <w:rsid w:val="00106C24"/>
    <w:rsid w:val="00112792"/>
    <w:rsid w:val="001150DF"/>
    <w:rsid w:val="0012306F"/>
    <w:rsid w:val="00125E46"/>
    <w:rsid w:val="00126800"/>
    <w:rsid w:val="0012723C"/>
    <w:rsid w:val="00134D8D"/>
    <w:rsid w:val="00136A97"/>
    <w:rsid w:val="00137365"/>
    <w:rsid w:val="00150E02"/>
    <w:rsid w:val="00152A2C"/>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0F13"/>
    <w:rsid w:val="001E22F1"/>
    <w:rsid w:val="001E2508"/>
    <w:rsid w:val="001E486F"/>
    <w:rsid w:val="001E5266"/>
    <w:rsid w:val="001F4645"/>
    <w:rsid w:val="00205DE4"/>
    <w:rsid w:val="00207063"/>
    <w:rsid w:val="00213FFA"/>
    <w:rsid w:val="00220C28"/>
    <w:rsid w:val="00220D75"/>
    <w:rsid w:val="0022173F"/>
    <w:rsid w:val="00221F98"/>
    <w:rsid w:val="00222732"/>
    <w:rsid w:val="00224E61"/>
    <w:rsid w:val="0023261D"/>
    <w:rsid w:val="002375DE"/>
    <w:rsid w:val="00241CAE"/>
    <w:rsid w:val="00246779"/>
    <w:rsid w:val="00262C31"/>
    <w:rsid w:val="002638DC"/>
    <w:rsid w:val="00263CE0"/>
    <w:rsid w:val="002678E9"/>
    <w:rsid w:val="002735CC"/>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05A06"/>
    <w:rsid w:val="00313E9C"/>
    <w:rsid w:val="00317618"/>
    <w:rsid w:val="00321F38"/>
    <w:rsid w:val="003235C6"/>
    <w:rsid w:val="00330ACB"/>
    <w:rsid w:val="00331394"/>
    <w:rsid w:val="003317A8"/>
    <w:rsid w:val="003353C5"/>
    <w:rsid w:val="003454E5"/>
    <w:rsid w:val="00347F97"/>
    <w:rsid w:val="00354173"/>
    <w:rsid w:val="003606D7"/>
    <w:rsid w:val="003616AC"/>
    <w:rsid w:val="0036614B"/>
    <w:rsid w:val="00366270"/>
    <w:rsid w:val="00370ED0"/>
    <w:rsid w:val="00373610"/>
    <w:rsid w:val="00375A18"/>
    <w:rsid w:val="00386024"/>
    <w:rsid w:val="003910F3"/>
    <w:rsid w:val="003967D0"/>
    <w:rsid w:val="0039752D"/>
    <w:rsid w:val="003A0397"/>
    <w:rsid w:val="003A0E56"/>
    <w:rsid w:val="003A4DD4"/>
    <w:rsid w:val="003A6E33"/>
    <w:rsid w:val="003B12D6"/>
    <w:rsid w:val="003B4242"/>
    <w:rsid w:val="003C3EF6"/>
    <w:rsid w:val="003C56E7"/>
    <w:rsid w:val="003D120B"/>
    <w:rsid w:val="003D1836"/>
    <w:rsid w:val="003D4CCB"/>
    <w:rsid w:val="003D5759"/>
    <w:rsid w:val="003E45AC"/>
    <w:rsid w:val="003F1EA3"/>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627"/>
    <w:rsid w:val="00491AD6"/>
    <w:rsid w:val="004960D6"/>
    <w:rsid w:val="004967A1"/>
    <w:rsid w:val="004A5A1A"/>
    <w:rsid w:val="004A76E5"/>
    <w:rsid w:val="004B0960"/>
    <w:rsid w:val="004B3EF1"/>
    <w:rsid w:val="004B5D5B"/>
    <w:rsid w:val="004B7829"/>
    <w:rsid w:val="004C0C7A"/>
    <w:rsid w:val="004C0F5B"/>
    <w:rsid w:val="004D28D9"/>
    <w:rsid w:val="004D37D9"/>
    <w:rsid w:val="004D3D04"/>
    <w:rsid w:val="004D6AA7"/>
    <w:rsid w:val="004D7D44"/>
    <w:rsid w:val="004E1C64"/>
    <w:rsid w:val="004E6CC5"/>
    <w:rsid w:val="004E717F"/>
    <w:rsid w:val="004F21A0"/>
    <w:rsid w:val="004F4242"/>
    <w:rsid w:val="00500B8F"/>
    <w:rsid w:val="00514128"/>
    <w:rsid w:val="0052183C"/>
    <w:rsid w:val="00521CF6"/>
    <w:rsid w:val="00526017"/>
    <w:rsid w:val="0053247E"/>
    <w:rsid w:val="00532BE2"/>
    <w:rsid w:val="00537585"/>
    <w:rsid w:val="005402C0"/>
    <w:rsid w:val="0055292D"/>
    <w:rsid w:val="00562761"/>
    <w:rsid w:val="0056287D"/>
    <w:rsid w:val="00564475"/>
    <w:rsid w:val="005676B7"/>
    <w:rsid w:val="005707DF"/>
    <w:rsid w:val="00572669"/>
    <w:rsid w:val="00574039"/>
    <w:rsid w:val="00577F0A"/>
    <w:rsid w:val="0058599E"/>
    <w:rsid w:val="005B0C70"/>
    <w:rsid w:val="005B386A"/>
    <w:rsid w:val="005B44AE"/>
    <w:rsid w:val="005D4099"/>
    <w:rsid w:val="005D5806"/>
    <w:rsid w:val="005D5F5A"/>
    <w:rsid w:val="005D69F4"/>
    <w:rsid w:val="005E6E2F"/>
    <w:rsid w:val="005F2771"/>
    <w:rsid w:val="006013AB"/>
    <w:rsid w:val="00602B9F"/>
    <w:rsid w:val="00603EFC"/>
    <w:rsid w:val="00622F39"/>
    <w:rsid w:val="0063039C"/>
    <w:rsid w:val="00635D16"/>
    <w:rsid w:val="00637430"/>
    <w:rsid w:val="00637D38"/>
    <w:rsid w:val="006425D3"/>
    <w:rsid w:val="006469C4"/>
    <w:rsid w:val="00650906"/>
    <w:rsid w:val="00654DD9"/>
    <w:rsid w:val="00655EAB"/>
    <w:rsid w:val="00657445"/>
    <w:rsid w:val="00661AAC"/>
    <w:rsid w:val="00661AE5"/>
    <w:rsid w:val="00663758"/>
    <w:rsid w:val="00670E3F"/>
    <w:rsid w:val="00676FF6"/>
    <w:rsid w:val="00683B6B"/>
    <w:rsid w:val="0068753A"/>
    <w:rsid w:val="00687A9E"/>
    <w:rsid w:val="0069387A"/>
    <w:rsid w:val="006939E5"/>
    <w:rsid w:val="006A5796"/>
    <w:rsid w:val="006B0D7D"/>
    <w:rsid w:val="006B379A"/>
    <w:rsid w:val="006B6253"/>
    <w:rsid w:val="006C14EE"/>
    <w:rsid w:val="006C2011"/>
    <w:rsid w:val="006C2A1C"/>
    <w:rsid w:val="006D4E53"/>
    <w:rsid w:val="006E008A"/>
    <w:rsid w:val="006E374B"/>
    <w:rsid w:val="006E50C0"/>
    <w:rsid w:val="006F59CF"/>
    <w:rsid w:val="0070174D"/>
    <w:rsid w:val="007043CA"/>
    <w:rsid w:val="00715BF0"/>
    <w:rsid w:val="0072243C"/>
    <w:rsid w:val="007237FA"/>
    <w:rsid w:val="00732A91"/>
    <w:rsid w:val="00736EC8"/>
    <w:rsid w:val="00737980"/>
    <w:rsid w:val="00741D94"/>
    <w:rsid w:val="007467DF"/>
    <w:rsid w:val="00756A61"/>
    <w:rsid w:val="00757BC3"/>
    <w:rsid w:val="00762481"/>
    <w:rsid w:val="0076444F"/>
    <w:rsid w:val="007872BC"/>
    <w:rsid w:val="00790CC5"/>
    <w:rsid w:val="00794C80"/>
    <w:rsid w:val="007A377A"/>
    <w:rsid w:val="007B1D32"/>
    <w:rsid w:val="007B6E3E"/>
    <w:rsid w:val="007B72B9"/>
    <w:rsid w:val="007C5B99"/>
    <w:rsid w:val="007C73DE"/>
    <w:rsid w:val="007D1AFF"/>
    <w:rsid w:val="007D609D"/>
    <w:rsid w:val="007D669F"/>
    <w:rsid w:val="007E1950"/>
    <w:rsid w:val="007E5EEC"/>
    <w:rsid w:val="007E6FD8"/>
    <w:rsid w:val="007E7599"/>
    <w:rsid w:val="007E7ECF"/>
    <w:rsid w:val="007F0E84"/>
    <w:rsid w:val="007F17B1"/>
    <w:rsid w:val="007F321F"/>
    <w:rsid w:val="007F338A"/>
    <w:rsid w:val="007F5A8E"/>
    <w:rsid w:val="007F6387"/>
    <w:rsid w:val="007F6E52"/>
    <w:rsid w:val="00801C0C"/>
    <w:rsid w:val="00806059"/>
    <w:rsid w:val="00806C5D"/>
    <w:rsid w:val="0081237E"/>
    <w:rsid w:val="00820463"/>
    <w:rsid w:val="00821486"/>
    <w:rsid w:val="008251B4"/>
    <w:rsid w:val="008271A8"/>
    <w:rsid w:val="00833527"/>
    <w:rsid w:val="00836810"/>
    <w:rsid w:val="00836A56"/>
    <w:rsid w:val="0084029F"/>
    <w:rsid w:val="0084260F"/>
    <w:rsid w:val="00843FE7"/>
    <w:rsid w:val="00845BCF"/>
    <w:rsid w:val="008529C3"/>
    <w:rsid w:val="0085653B"/>
    <w:rsid w:val="00860EC5"/>
    <w:rsid w:val="008627B7"/>
    <w:rsid w:val="00867383"/>
    <w:rsid w:val="008744A6"/>
    <w:rsid w:val="0087689B"/>
    <w:rsid w:val="008807E6"/>
    <w:rsid w:val="00883BC8"/>
    <w:rsid w:val="00894AC2"/>
    <w:rsid w:val="00894B13"/>
    <w:rsid w:val="0089745E"/>
    <w:rsid w:val="00897ABC"/>
    <w:rsid w:val="008A05DD"/>
    <w:rsid w:val="008A3D83"/>
    <w:rsid w:val="008A7731"/>
    <w:rsid w:val="008B3B23"/>
    <w:rsid w:val="008B4CA7"/>
    <w:rsid w:val="008B7489"/>
    <w:rsid w:val="008C5194"/>
    <w:rsid w:val="008D30E6"/>
    <w:rsid w:val="008D3564"/>
    <w:rsid w:val="00901824"/>
    <w:rsid w:val="009069C2"/>
    <w:rsid w:val="009140FD"/>
    <w:rsid w:val="009241DC"/>
    <w:rsid w:val="009320AA"/>
    <w:rsid w:val="00932702"/>
    <w:rsid w:val="00934288"/>
    <w:rsid w:val="0094517E"/>
    <w:rsid w:val="00946E88"/>
    <w:rsid w:val="0095718F"/>
    <w:rsid w:val="00962B37"/>
    <w:rsid w:val="009630CC"/>
    <w:rsid w:val="0096330D"/>
    <w:rsid w:val="00970EB1"/>
    <w:rsid w:val="00971A5E"/>
    <w:rsid w:val="009754EA"/>
    <w:rsid w:val="00977755"/>
    <w:rsid w:val="00977835"/>
    <w:rsid w:val="00981574"/>
    <w:rsid w:val="00981585"/>
    <w:rsid w:val="009A7E33"/>
    <w:rsid w:val="009B29BD"/>
    <w:rsid w:val="009B458C"/>
    <w:rsid w:val="009B5C03"/>
    <w:rsid w:val="009C2FED"/>
    <w:rsid w:val="009D264E"/>
    <w:rsid w:val="009D3593"/>
    <w:rsid w:val="009E1FC3"/>
    <w:rsid w:val="009E28F5"/>
    <w:rsid w:val="009E46C4"/>
    <w:rsid w:val="009E4ADB"/>
    <w:rsid w:val="009E586C"/>
    <w:rsid w:val="009F59E4"/>
    <w:rsid w:val="00A01444"/>
    <w:rsid w:val="00A07E43"/>
    <w:rsid w:val="00A11046"/>
    <w:rsid w:val="00A15619"/>
    <w:rsid w:val="00A16DAE"/>
    <w:rsid w:val="00A20D92"/>
    <w:rsid w:val="00A21FED"/>
    <w:rsid w:val="00A33BE1"/>
    <w:rsid w:val="00A37BD6"/>
    <w:rsid w:val="00A37C74"/>
    <w:rsid w:val="00A40455"/>
    <w:rsid w:val="00A44336"/>
    <w:rsid w:val="00A44F1C"/>
    <w:rsid w:val="00A46A0C"/>
    <w:rsid w:val="00A54EF3"/>
    <w:rsid w:val="00A5725E"/>
    <w:rsid w:val="00A57F7F"/>
    <w:rsid w:val="00A653B2"/>
    <w:rsid w:val="00A869D4"/>
    <w:rsid w:val="00A876D2"/>
    <w:rsid w:val="00A87EC8"/>
    <w:rsid w:val="00A92C24"/>
    <w:rsid w:val="00A9589A"/>
    <w:rsid w:val="00AA2E6E"/>
    <w:rsid w:val="00AA39E1"/>
    <w:rsid w:val="00AA5551"/>
    <w:rsid w:val="00AB37A6"/>
    <w:rsid w:val="00AC65D8"/>
    <w:rsid w:val="00AD47DA"/>
    <w:rsid w:val="00AD7337"/>
    <w:rsid w:val="00AE28E2"/>
    <w:rsid w:val="00AE6DD3"/>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1D9F"/>
    <w:rsid w:val="00BE28D8"/>
    <w:rsid w:val="00BE371C"/>
    <w:rsid w:val="00BE379B"/>
    <w:rsid w:val="00BF2BCE"/>
    <w:rsid w:val="00BF3802"/>
    <w:rsid w:val="00C00762"/>
    <w:rsid w:val="00C020A8"/>
    <w:rsid w:val="00C05B41"/>
    <w:rsid w:val="00C068DB"/>
    <w:rsid w:val="00C07FF8"/>
    <w:rsid w:val="00C14F52"/>
    <w:rsid w:val="00C153DF"/>
    <w:rsid w:val="00C23B65"/>
    <w:rsid w:val="00C30408"/>
    <w:rsid w:val="00C335FE"/>
    <w:rsid w:val="00C3365A"/>
    <w:rsid w:val="00C36CC2"/>
    <w:rsid w:val="00C43E76"/>
    <w:rsid w:val="00C44A8F"/>
    <w:rsid w:val="00C46EEC"/>
    <w:rsid w:val="00C47180"/>
    <w:rsid w:val="00C5538B"/>
    <w:rsid w:val="00C66690"/>
    <w:rsid w:val="00C71212"/>
    <w:rsid w:val="00C82C06"/>
    <w:rsid w:val="00C866F7"/>
    <w:rsid w:val="00C87AFC"/>
    <w:rsid w:val="00C90AD7"/>
    <w:rsid w:val="00C94E0B"/>
    <w:rsid w:val="00CA0F50"/>
    <w:rsid w:val="00CA5B4C"/>
    <w:rsid w:val="00CA6785"/>
    <w:rsid w:val="00CC2512"/>
    <w:rsid w:val="00CC278F"/>
    <w:rsid w:val="00CC416B"/>
    <w:rsid w:val="00CD14D0"/>
    <w:rsid w:val="00CD409E"/>
    <w:rsid w:val="00CD7EB5"/>
    <w:rsid w:val="00D00C94"/>
    <w:rsid w:val="00D05ABC"/>
    <w:rsid w:val="00D070C4"/>
    <w:rsid w:val="00D1037C"/>
    <w:rsid w:val="00D137F7"/>
    <w:rsid w:val="00D1473D"/>
    <w:rsid w:val="00D201D5"/>
    <w:rsid w:val="00D258E9"/>
    <w:rsid w:val="00D276D6"/>
    <w:rsid w:val="00D33A2A"/>
    <w:rsid w:val="00D35718"/>
    <w:rsid w:val="00D36543"/>
    <w:rsid w:val="00D40AC5"/>
    <w:rsid w:val="00D43B6D"/>
    <w:rsid w:val="00D51191"/>
    <w:rsid w:val="00D56177"/>
    <w:rsid w:val="00D60729"/>
    <w:rsid w:val="00D66F40"/>
    <w:rsid w:val="00D6715B"/>
    <w:rsid w:val="00D7198E"/>
    <w:rsid w:val="00D744FA"/>
    <w:rsid w:val="00D8185C"/>
    <w:rsid w:val="00D8605F"/>
    <w:rsid w:val="00D8690A"/>
    <w:rsid w:val="00D870FE"/>
    <w:rsid w:val="00D96149"/>
    <w:rsid w:val="00DA16E8"/>
    <w:rsid w:val="00DA36B9"/>
    <w:rsid w:val="00DA387D"/>
    <w:rsid w:val="00DA5D6A"/>
    <w:rsid w:val="00DA6CA7"/>
    <w:rsid w:val="00DB07EE"/>
    <w:rsid w:val="00DB7158"/>
    <w:rsid w:val="00DC0DCD"/>
    <w:rsid w:val="00DC4447"/>
    <w:rsid w:val="00DC4641"/>
    <w:rsid w:val="00DC65B3"/>
    <w:rsid w:val="00DD0C75"/>
    <w:rsid w:val="00DD2D78"/>
    <w:rsid w:val="00DD6727"/>
    <w:rsid w:val="00DD7DFC"/>
    <w:rsid w:val="00DF1738"/>
    <w:rsid w:val="00DF568B"/>
    <w:rsid w:val="00DF7A0C"/>
    <w:rsid w:val="00E01057"/>
    <w:rsid w:val="00E052D5"/>
    <w:rsid w:val="00E072C0"/>
    <w:rsid w:val="00E07A3F"/>
    <w:rsid w:val="00E07EFB"/>
    <w:rsid w:val="00E16F2F"/>
    <w:rsid w:val="00E2022A"/>
    <w:rsid w:val="00E21E3C"/>
    <w:rsid w:val="00E22A8D"/>
    <w:rsid w:val="00E271FD"/>
    <w:rsid w:val="00E32003"/>
    <w:rsid w:val="00E36457"/>
    <w:rsid w:val="00E40457"/>
    <w:rsid w:val="00E47F45"/>
    <w:rsid w:val="00E549CF"/>
    <w:rsid w:val="00E55060"/>
    <w:rsid w:val="00E562D0"/>
    <w:rsid w:val="00E60CC0"/>
    <w:rsid w:val="00E62766"/>
    <w:rsid w:val="00E70863"/>
    <w:rsid w:val="00E71C0D"/>
    <w:rsid w:val="00E725B6"/>
    <w:rsid w:val="00E7353D"/>
    <w:rsid w:val="00E766C6"/>
    <w:rsid w:val="00E80B5C"/>
    <w:rsid w:val="00E828F9"/>
    <w:rsid w:val="00E8703D"/>
    <w:rsid w:val="00E90C00"/>
    <w:rsid w:val="00EA3278"/>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25FC9"/>
    <w:rsid w:val="00F316F1"/>
    <w:rsid w:val="00F436CE"/>
    <w:rsid w:val="00F51D84"/>
    <w:rsid w:val="00F62141"/>
    <w:rsid w:val="00F67CCF"/>
    <w:rsid w:val="00F6918C"/>
    <w:rsid w:val="00F71BC1"/>
    <w:rsid w:val="00F82EF1"/>
    <w:rsid w:val="00F84D65"/>
    <w:rsid w:val="00F906D0"/>
    <w:rsid w:val="00F9394B"/>
    <w:rsid w:val="00FA4096"/>
    <w:rsid w:val="00FA58FD"/>
    <w:rsid w:val="00FB1139"/>
    <w:rsid w:val="00FB2965"/>
    <w:rsid w:val="00FC0DC5"/>
    <w:rsid w:val="00FC3EDE"/>
    <w:rsid w:val="00FE2955"/>
    <w:rsid w:val="03FDDCB2"/>
    <w:rsid w:val="06454755"/>
    <w:rsid w:val="06692773"/>
    <w:rsid w:val="0A4677C3"/>
    <w:rsid w:val="127A5945"/>
    <w:rsid w:val="192EC672"/>
    <w:rsid w:val="219A5D37"/>
    <w:rsid w:val="28C313E8"/>
    <w:rsid w:val="2B14CB85"/>
    <w:rsid w:val="2EDEC3DD"/>
    <w:rsid w:val="30B2A674"/>
    <w:rsid w:val="347F6E2C"/>
    <w:rsid w:val="349EFF15"/>
    <w:rsid w:val="38719E2D"/>
    <w:rsid w:val="3B2BC30D"/>
    <w:rsid w:val="3DE43414"/>
    <w:rsid w:val="408DF581"/>
    <w:rsid w:val="45137C73"/>
    <w:rsid w:val="4877B610"/>
    <w:rsid w:val="4A2AB595"/>
    <w:rsid w:val="4CF62362"/>
    <w:rsid w:val="4E1DD443"/>
    <w:rsid w:val="523A2830"/>
    <w:rsid w:val="55E9772B"/>
    <w:rsid w:val="56D8E11C"/>
    <w:rsid w:val="58354280"/>
    <w:rsid w:val="5E1E1A01"/>
    <w:rsid w:val="5EAFF6CB"/>
    <w:rsid w:val="6D15DD4C"/>
    <w:rsid w:val="730C5223"/>
    <w:rsid w:val="76A47999"/>
    <w:rsid w:val="7C8550B5"/>
    <w:rsid w:val="7CFC8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BBB70"/>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B72FB"/>
    <w:rsid w:val="001C76A9"/>
    <w:rsid w:val="001E4D58"/>
    <w:rsid w:val="0025382B"/>
    <w:rsid w:val="005B3992"/>
    <w:rsid w:val="005E3561"/>
    <w:rsid w:val="00672DF4"/>
    <w:rsid w:val="008638AA"/>
    <w:rsid w:val="0087154F"/>
    <w:rsid w:val="008F1F7B"/>
    <w:rsid w:val="008F5F77"/>
    <w:rsid w:val="00A903D9"/>
    <w:rsid w:val="00A9166C"/>
    <w:rsid w:val="00AC054C"/>
    <w:rsid w:val="00AC0DBB"/>
    <w:rsid w:val="00BB64E1"/>
    <w:rsid w:val="00BE0041"/>
    <w:rsid w:val="00C36CDA"/>
    <w:rsid w:val="00D4302A"/>
    <w:rsid w:val="00D45CD8"/>
    <w:rsid w:val="00DB07EE"/>
    <w:rsid w:val="00F4667B"/>
    <w:rsid w:val="00F55B49"/>
    <w:rsid w:val="00FB1B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16602531-B513-4B7D-83D8-40CC35904D6F}">
  <ds:schemaRefs>
    <ds:schemaRef ds:uri="http://schemas.openxmlformats.org/officeDocument/2006/bibliography"/>
  </ds:schemaRefs>
</ds:datastoreItem>
</file>

<file path=customXml/itemProps3.xml><?xml version="1.0" encoding="utf-8"?>
<ds:datastoreItem xmlns:ds="http://schemas.openxmlformats.org/officeDocument/2006/customXml" ds:itemID="{E05C21FD-01FE-4142-9B0F-CA21D79E6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23816-8B46-4404-B97C-F42799AF71D2}">
  <ds:schemaRefs>
    <ds:schemaRef ds:uri="54e98812-b12a-4504-b572-6fcfe8934f27"/>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b768acbd-dc7f-4a24-9e54-842e75727939"/>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20</cp:revision>
  <cp:lastPrinted>2016-07-12T18:00:00Z</cp:lastPrinted>
  <dcterms:created xsi:type="dcterms:W3CDTF">2017-07-13T19:33:00Z</dcterms:created>
  <dcterms:modified xsi:type="dcterms:W3CDTF">2021-05-03T13:32:00Z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