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06620A" w:rsidRPr="0016743F" w:rsidRDefault="0006620A" w:rsidP="0006620A">
      <w:pPr>
        <w:keepNext/>
        <w:keepLines/>
        <w:pBdr>
          <w:bottom w:val="single" w:sz="4" w:space="1" w:color="003055" w:themeColor="text1"/>
        </w:pBdr>
        <w:tabs>
          <w:tab w:val="left" w:pos="4016"/>
        </w:tabs>
        <w:spacing w:before="120" w:after="120"/>
        <w:outlineLvl w:val="0"/>
        <w:rPr>
          <w:rFonts w:asciiTheme="majorHAnsi" w:eastAsiaTheme="majorEastAsia" w:hAnsiTheme="majorHAnsi" w:cstheme="majorHAnsi"/>
          <w:b/>
          <w:bCs/>
          <w:caps/>
          <w:sz w:val="26"/>
          <w:szCs w:val="24"/>
        </w:rPr>
      </w:pPr>
      <w:bookmarkStart w:id="1" w:name="_Toc465846417"/>
      <w:r w:rsidRPr="0016743F">
        <w:rPr>
          <w:rFonts w:asciiTheme="majorHAnsi" w:eastAsiaTheme="majorEastAsia" w:hAnsiTheme="majorHAnsi" w:cstheme="majorHAnsi"/>
          <w:b/>
          <w:bCs/>
          <w:caps/>
          <w:sz w:val="26"/>
          <w:szCs w:val="24"/>
        </w:rPr>
        <w:t>General counsel, Office of the director of national intelligence</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0D453A" w:rsidRPr="00A7071D" w:rsidTr="00E4729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53A" w:rsidRPr="00A7071D" w:rsidRDefault="000D453A" w:rsidP="00E4729D">
            <w:pPr>
              <w:contextualSpacing/>
              <w:jc w:val="center"/>
              <w:rPr>
                <w:rFonts w:asciiTheme="majorHAnsi" w:hAnsiTheme="majorHAnsi" w:cstheme="majorHAnsi"/>
                <w:b/>
              </w:rPr>
            </w:pPr>
            <w:r w:rsidRPr="00A7071D">
              <w:rPr>
                <w:rFonts w:asciiTheme="majorHAnsi" w:hAnsiTheme="majorHAnsi" w:cstheme="majorHAnsi"/>
                <w:b/>
              </w:rPr>
              <w:t>OVERVIEW</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Senate Committee</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E4729D">
            <w:pPr>
              <w:contextualSpacing/>
              <w:rPr>
                <w:rFonts w:asciiTheme="majorHAnsi" w:hAnsiTheme="majorHAnsi" w:cstheme="majorHAnsi"/>
                <w:bCs/>
                <w:i/>
              </w:rPr>
            </w:pPr>
            <w:r w:rsidRPr="00A7071D">
              <w:rPr>
                <w:rFonts w:asciiTheme="majorHAnsi" w:hAnsiTheme="majorHAnsi" w:cstheme="majorHAnsi"/>
              </w:rPr>
              <w:t>Intelligence</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Agency Mission</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E4729D">
            <w:pPr>
              <w:shd w:val="clear" w:color="auto" w:fill="FFFFFF"/>
              <w:contextualSpacing/>
              <w:textAlignment w:val="baseline"/>
              <w:rPr>
                <w:rFonts w:asciiTheme="majorHAnsi" w:hAnsiTheme="majorHAnsi" w:cstheme="majorHAnsi"/>
              </w:rPr>
            </w:pPr>
            <w:r w:rsidRPr="00A7071D">
              <w:rPr>
                <w:rFonts w:asciiTheme="majorHAnsi" w:hAnsiTheme="majorHAnsi" w:cstheme="majorHAnsi"/>
                <w:bCs/>
              </w:rPr>
              <w:t xml:space="preserve">To lead intelligence integration and forge an intelligence community that delivers the most insightful intelligence possible. </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Position Overview</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The General Counsel is the chief legal officer of the Office of the Director of National Intelligence. The General Counsel’s mission is to provide accurate and timely legal guidance and counsel to the director and to the Director’s office to ensure all employees and contractors assigned to the office comply with U.S. law and any applicable regulations and directives. The General Counsel’s mission also includes supporting the Director in carrying out his/her statutory responsibility to ensure compliance with the Constitution and laws of the United States by elements of the intelligence community that are part of the National Intelligence Program. To this end, the General Counsel works closely with legal officers across the intelligence community to coordinate the development of legal mechanisms to facilitate the implementation of director’s policies and to ensure compliance with applicable law.</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i/>
              </w:rPr>
            </w:pPr>
            <w:r w:rsidRPr="00A7071D">
              <w:rPr>
                <w:rFonts w:asciiTheme="majorHAnsi" w:hAnsiTheme="majorHAnsi" w:cstheme="majorHAnsi"/>
              </w:rPr>
              <w:t>Compensation</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1031D3" w:rsidP="007F0443">
            <w:pPr>
              <w:contextualSpacing/>
              <w:rPr>
                <w:rFonts w:asciiTheme="majorHAnsi" w:hAnsiTheme="majorHAnsi" w:cstheme="majorHAnsi"/>
              </w:rPr>
            </w:pPr>
            <w:r w:rsidRPr="00A7071D">
              <w:rPr>
                <w:rFonts w:asciiTheme="majorHAnsi" w:hAnsiTheme="majorHAnsi" w:cstheme="majorHAnsi"/>
              </w:rPr>
              <w:t>Level IV $</w:t>
            </w:r>
            <w:r w:rsidR="007F0443">
              <w:rPr>
                <w:rFonts w:asciiTheme="majorHAnsi" w:hAnsiTheme="majorHAnsi" w:cstheme="majorHAnsi"/>
              </w:rPr>
              <w:t>155,500</w:t>
            </w:r>
            <w:r w:rsidR="000D453A" w:rsidRPr="00A7071D">
              <w:rPr>
                <w:rFonts w:asciiTheme="majorHAnsi" w:hAnsiTheme="majorHAnsi" w:cstheme="majorHAnsi"/>
              </w:rPr>
              <w:t xml:space="preserve"> (5 U.S.C. § 5315)</w:t>
            </w:r>
            <w:r w:rsidR="00A7071D" w:rsidRPr="00A7071D">
              <w:rPr>
                <w:rStyle w:val="EndnoteReference"/>
                <w:rFonts w:asciiTheme="majorHAnsi" w:hAnsiTheme="majorHAnsi" w:cstheme="majorHAnsi"/>
              </w:rPr>
              <w:endnoteReference w:id="1"/>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Position Reports to</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Director of National Intelligence</w:t>
            </w:r>
          </w:p>
        </w:tc>
      </w:tr>
      <w:tr w:rsidR="000D453A" w:rsidRPr="00A7071D" w:rsidTr="00E4729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53A" w:rsidRPr="00A7071D" w:rsidRDefault="000D453A" w:rsidP="00E4729D">
            <w:pPr>
              <w:contextualSpacing/>
              <w:jc w:val="center"/>
              <w:rPr>
                <w:rFonts w:asciiTheme="majorHAnsi" w:hAnsiTheme="majorHAnsi" w:cstheme="majorHAnsi"/>
                <w:b/>
              </w:rPr>
            </w:pPr>
            <w:r w:rsidRPr="00A7071D">
              <w:rPr>
                <w:rFonts w:asciiTheme="majorHAnsi" w:hAnsiTheme="majorHAnsi" w:cstheme="majorHAnsi"/>
                <w:b/>
              </w:rPr>
              <w:t>RESPONSIBILITIES</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Management Scope</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E4729D">
            <w:pPr>
              <w:contextualSpacing/>
              <w:rPr>
                <w:rFonts w:asciiTheme="majorHAnsi" w:eastAsiaTheme="minorEastAsia" w:hAnsiTheme="majorHAnsi" w:cstheme="majorHAnsi"/>
              </w:rPr>
            </w:pPr>
            <w:r w:rsidRPr="00A7071D">
              <w:rPr>
                <w:rFonts w:asciiTheme="majorHAnsi" w:hAnsiTheme="majorHAnsi" w:cstheme="majorHAnsi"/>
              </w:rPr>
              <w:t>The General Counsel will work closely with counterparts at other intelligence agencies, the legal advisors to the as the</w:t>
            </w:r>
            <w:r w:rsidRPr="00A7071D">
              <w:rPr>
                <w:rFonts w:asciiTheme="majorHAnsi" w:hAnsiTheme="majorHAnsi" w:cstheme="majorHAnsi"/>
                <w:i/>
                <w:iCs/>
              </w:rPr>
              <w:t xml:space="preserve"> </w:t>
            </w:r>
            <w:r w:rsidRPr="00A7071D">
              <w:rPr>
                <w:rFonts w:asciiTheme="majorHAnsi" w:hAnsiTheme="majorHAnsi" w:cstheme="majorHAnsi"/>
                <w:iCs/>
              </w:rPr>
              <w:t>Assistant</w:t>
            </w:r>
            <w:r w:rsidRPr="00A7071D">
              <w:rPr>
                <w:rFonts w:asciiTheme="majorHAnsi" w:hAnsiTheme="majorHAnsi" w:cstheme="majorHAnsi"/>
                <w:i/>
                <w:iCs/>
              </w:rPr>
              <w:t xml:space="preserve"> </w:t>
            </w:r>
            <w:r w:rsidRPr="00A7071D">
              <w:rPr>
                <w:rFonts w:asciiTheme="majorHAnsi" w:hAnsiTheme="majorHAnsi" w:cstheme="majorHAnsi"/>
                <w:iCs/>
              </w:rPr>
              <w:t>to</w:t>
            </w:r>
            <w:r w:rsidRPr="00A7071D">
              <w:rPr>
                <w:rFonts w:asciiTheme="majorHAnsi" w:hAnsiTheme="majorHAnsi" w:cstheme="majorHAnsi"/>
                <w:i/>
                <w:iCs/>
              </w:rPr>
              <w:t xml:space="preserve"> </w:t>
            </w:r>
            <w:r w:rsidRPr="00A7071D">
              <w:rPr>
                <w:rFonts w:asciiTheme="majorHAnsi" w:hAnsiTheme="majorHAnsi" w:cstheme="majorHAnsi"/>
                <w:iCs/>
              </w:rPr>
              <w:t>the</w:t>
            </w:r>
            <w:r w:rsidRPr="00A7071D">
              <w:rPr>
                <w:rFonts w:asciiTheme="majorHAnsi" w:hAnsiTheme="majorHAnsi" w:cstheme="majorHAnsi"/>
                <w:i/>
                <w:iCs/>
              </w:rPr>
              <w:t xml:space="preserve"> </w:t>
            </w:r>
            <w:r w:rsidRPr="00A7071D">
              <w:rPr>
                <w:rFonts w:asciiTheme="majorHAnsi" w:hAnsiTheme="majorHAnsi" w:cstheme="majorHAnsi"/>
                <w:iCs/>
              </w:rPr>
              <w:t>President for National Security Affairs</w:t>
            </w:r>
            <w:r w:rsidRPr="00A7071D">
              <w:rPr>
                <w:rFonts w:asciiTheme="majorHAnsi" w:hAnsiTheme="majorHAnsi" w:cstheme="majorHAnsi"/>
              </w:rPr>
              <w:t xml:space="preserve"> and State Department and the Department of Justice.</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Primary Responsibilities</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0D453A">
            <w:pPr>
              <w:numPr>
                <w:ilvl w:val="0"/>
                <w:numId w:val="43"/>
              </w:numPr>
              <w:ind w:left="432"/>
              <w:contextualSpacing/>
              <w:rPr>
                <w:rFonts w:asciiTheme="majorHAnsi" w:eastAsia="Calibri" w:hAnsiTheme="majorHAnsi" w:cstheme="majorHAnsi"/>
              </w:rPr>
            </w:pPr>
            <w:r w:rsidRPr="00A7071D">
              <w:rPr>
                <w:rFonts w:asciiTheme="majorHAnsi" w:eastAsia="Calibri" w:hAnsiTheme="majorHAnsi" w:cstheme="majorHAnsi"/>
              </w:rPr>
              <w:t xml:space="preserve">Provides accurate and timely legal guidance and counsel to the director of national intelligence and the Office of the Director of National Intelligence (ODNI) to ensure the office complies with U.S. law </w:t>
            </w:r>
          </w:p>
          <w:p w:rsidR="000D453A" w:rsidRPr="00A7071D" w:rsidRDefault="000D453A" w:rsidP="000D453A">
            <w:pPr>
              <w:numPr>
                <w:ilvl w:val="0"/>
                <w:numId w:val="43"/>
              </w:numPr>
              <w:ind w:left="432"/>
              <w:contextualSpacing/>
              <w:rPr>
                <w:rFonts w:asciiTheme="majorHAnsi" w:eastAsia="Calibri" w:hAnsiTheme="majorHAnsi" w:cstheme="majorHAnsi"/>
              </w:rPr>
            </w:pPr>
            <w:r w:rsidRPr="00A7071D">
              <w:rPr>
                <w:rFonts w:asciiTheme="majorHAnsi" w:eastAsia="Calibri" w:hAnsiTheme="majorHAnsi" w:cstheme="majorHAnsi"/>
              </w:rPr>
              <w:t>Assists the Director in his or her responsibility to ensure legal compliance by the intelligence community in general</w:t>
            </w:r>
          </w:p>
          <w:p w:rsidR="000D453A" w:rsidRPr="00A7071D" w:rsidRDefault="000D453A" w:rsidP="000D453A">
            <w:pPr>
              <w:numPr>
                <w:ilvl w:val="0"/>
                <w:numId w:val="43"/>
              </w:numPr>
              <w:ind w:left="432"/>
              <w:contextualSpacing/>
              <w:rPr>
                <w:rFonts w:asciiTheme="majorHAnsi" w:eastAsia="Calibri" w:hAnsiTheme="majorHAnsi" w:cstheme="majorHAnsi"/>
              </w:rPr>
            </w:pPr>
            <w:r w:rsidRPr="00A7071D">
              <w:rPr>
                <w:rFonts w:asciiTheme="majorHAnsi" w:eastAsia="Calibri" w:hAnsiTheme="majorHAnsi" w:cstheme="majorHAnsi"/>
              </w:rPr>
              <w:t>Works with general counsels throughout the intelligence community to facilitate implementation of ODNI policies and ensure compliance with U.S. law</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Strategic Goals and Priorities</w:t>
            </w:r>
          </w:p>
        </w:tc>
        <w:tc>
          <w:tcPr>
            <w:tcW w:w="6621" w:type="dxa"/>
            <w:tcBorders>
              <w:top w:val="single" w:sz="2" w:space="0" w:color="auto"/>
              <w:left w:val="single" w:sz="2" w:space="0" w:color="auto"/>
              <w:bottom w:val="single" w:sz="2" w:space="0" w:color="auto"/>
              <w:right w:val="single" w:sz="2" w:space="0" w:color="auto"/>
            </w:tcBorders>
            <w:vAlign w:val="center"/>
          </w:tcPr>
          <w:p w:rsidR="000D453A" w:rsidRPr="00A7071D" w:rsidRDefault="000D453A" w:rsidP="00E4729D">
            <w:pPr>
              <w:ind w:left="72"/>
              <w:contextualSpacing/>
              <w:jc w:val="center"/>
              <w:rPr>
                <w:rFonts w:asciiTheme="majorHAnsi" w:hAnsiTheme="majorHAnsi" w:cstheme="majorHAnsi"/>
              </w:rPr>
            </w:pPr>
          </w:p>
          <w:p w:rsidR="000D453A" w:rsidRPr="00A7071D" w:rsidRDefault="000D453A" w:rsidP="00E4729D">
            <w:pPr>
              <w:ind w:left="72"/>
              <w:contextualSpacing/>
              <w:jc w:val="center"/>
              <w:rPr>
                <w:rFonts w:asciiTheme="majorHAnsi" w:hAnsiTheme="majorHAnsi" w:cstheme="majorHAnsi"/>
              </w:rPr>
            </w:pPr>
          </w:p>
          <w:p w:rsidR="000D453A" w:rsidRPr="00A7071D" w:rsidRDefault="000D453A" w:rsidP="00E4729D">
            <w:pPr>
              <w:ind w:left="72"/>
              <w:contextualSpacing/>
              <w:jc w:val="center"/>
              <w:rPr>
                <w:rFonts w:asciiTheme="majorHAnsi" w:hAnsiTheme="majorHAnsi" w:cstheme="majorHAnsi"/>
              </w:rPr>
            </w:pPr>
            <w:r w:rsidRPr="00A7071D">
              <w:rPr>
                <w:rFonts w:asciiTheme="majorHAnsi" w:hAnsiTheme="majorHAnsi" w:cstheme="majorHAnsi"/>
              </w:rPr>
              <w:t xml:space="preserve">[Depends on the policy priorities of the administration] </w:t>
            </w:r>
          </w:p>
          <w:p w:rsidR="000D453A" w:rsidRPr="00A7071D" w:rsidRDefault="000D453A" w:rsidP="00E4729D">
            <w:pPr>
              <w:contextualSpacing/>
              <w:rPr>
                <w:rFonts w:asciiTheme="majorHAnsi" w:hAnsiTheme="majorHAnsi" w:cstheme="majorHAnsi"/>
              </w:rPr>
            </w:pPr>
          </w:p>
          <w:p w:rsidR="000D453A" w:rsidRPr="00A7071D" w:rsidRDefault="000D453A" w:rsidP="00E4729D">
            <w:pPr>
              <w:contextualSpacing/>
              <w:rPr>
                <w:rFonts w:asciiTheme="majorHAnsi" w:hAnsiTheme="majorHAnsi" w:cstheme="majorHAnsi"/>
              </w:rPr>
            </w:pPr>
          </w:p>
        </w:tc>
      </w:tr>
      <w:tr w:rsidR="000D453A" w:rsidRPr="00A7071D" w:rsidTr="00E4729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53A" w:rsidRPr="00A7071D" w:rsidRDefault="000D453A" w:rsidP="00E4729D">
            <w:pPr>
              <w:contextualSpacing/>
              <w:jc w:val="center"/>
              <w:rPr>
                <w:rFonts w:asciiTheme="majorHAnsi" w:hAnsiTheme="majorHAnsi" w:cstheme="majorHAnsi"/>
                <w:b/>
              </w:rPr>
            </w:pPr>
            <w:r w:rsidRPr="00A7071D">
              <w:rPr>
                <w:rFonts w:asciiTheme="majorHAnsi" w:hAnsiTheme="majorHAnsi" w:cstheme="majorHAnsi"/>
                <w:b/>
              </w:rPr>
              <w:lastRenderedPageBreak/>
              <w:t>REQUIREMENTS AND COMPETENCIES</w:t>
            </w:r>
          </w:p>
        </w:tc>
      </w:tr>
      <w:tr w:rsidR="000D453A" w:rsidRPr="00A7071D" w:rsidTr="00E4729D">
        <w:trPr>
          <w:trHeight w:val="1017"/>
        </w:trPr>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Requirements</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0D453A">
            <w:pPr>
              <w:numPr>
                <w:ilvl w:val="0"/>
                <w:numId w:val="44"/>
              </w:numPr>
              <w:ind w:left="434"/>
              <w:contextualSpacing/>
              <w:rPr>
                <w:rFonts w:asciiTheme="majorHAnsi" w:eastAsia="Calibri" w:hAnsiTheme="majorHAnsi" w:cstheme="majorHAnsi"/>
              </w:rPr>
            </w:pPr>
            <w:r w:rsidRPr="00A7071D">
              <w:rPr>
                <w:rFonts w:asciiTheme="majorHAnsi" w:eastAsia="Calibri" w:hAnsiTheme="majorHAnsi" w:cstheme="majorHAnsi"/>
              </w:rPr>
              <w:t>Strong legal background with knowledge of the national security field</w:t>
            </w:r>
          </w:p>
          <w:p w:rsidR="000D453A" w:rsidRPr="00A7071D" w:rsidRDefault="000D453A" w:rsidP="000D453A">
            <w:pPr>
              <w:numPr>
                <w:ilvl w:val="0"/>
                <w:numId w:val="44"/>
              </w:numPr>
              <w:ind w:left="434"/>
              <w:contextualSpacing/>
              <w:rPr>
                <w:rFonts w:asciiTheme="majorHAnsi" w:eastAsia="Calibri" w:hAnsiTheme="majorHAnsi" w:cstheme="majorHAnsi"/>
              </w:rPr>
            </w:pPr>
            <w:r w:rsidRPr="00A7071D">
              <w:rPr>
                <w:rFonts w:asciiTheme="majorHAnsi" w:eastAsia="Calibri" w:hAnsiTheme="majorHAnsi" w:cstheme="majorHAnsi"/>
              </w:rPr>
              <w:t>Experience working on complicated policy and administrative issues</w:t>
            </w:r>
          </w:p>
          <w:p w:rsidR="000D453A" w:rsidRPr="00A7071D" w:rsidRDefault="000D453A" w:rsidP="000D453A">
            <w:pPr>
              <w:numPr>
                <w:ilvl w:val="0"/>
                <w:numId w:val="44"/>
              </w:numPr>
              <w:ind w:left="434"/>
              <w:contextualSpacing/>
              <w:rPr>
                <w:rFonts w:asciiTheme="majorHAnsi" w:eastAsia="Calibri" w:hAnsiTheme="majorHAnsi" w:cstheme="majorHAnsi"/>
              </w:rPr>
            </w:pPr>
            <w:r w:rsidRPr="00A7071D">
              <w:rPr>
                <w:rFonts w:asciiTheme="majorHAnsi" w:eastAsia="Calibri" w:hAnsiTheme="majorHAnsi" w:cstheme="majorHAnsi"/>
              </w:rPr>
              <w:t xml:space="preserve">Experience working on matrixed teams and with a cross- section of senior executives </w:t>
            </w:r>
          </w:p>
        </w:tc>
      </w:tr>
      <w:tr w:rsidR="000D453A" w:rsidRPr="00A7071D" w:rsidTr="00E4729D">
        <w:tc>
          <w:tcPr>
            <w:tcW w:w="262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Competencies</w:t>
            </w:r>
          </w:p>
        </w:tc>
        <w:tc>
          <w:tcPr>
            <w:tcW w:w="6621" w:type="dxa"/>
            <w:tcBorders>
              <w:top w:val="single" w:sz="2" w:space="0" w:color="auto"/>
              <w:left w:val="single" w:sz="2" w:space="0" w:color="auto"/>
              <w:bottom w:val="single" w:sz="2" w:space="0" w:color="auto"/>
              <w:right w:val="single" w:sz="2" w:space="0" w:color="auto"/>
            </w:tcBorders>
          </w:tcPr>
          <w:p w:rsidR="000D453A" w:rsidRPr="00A7071D" w:rsidRDefault="000D453A" w:rsidP="000D453A">
            <w:pPr>
              <w:numPr>
                <w:ilvl w:val="0"/>
                <w:numId w:val="32"/>
              </w:numPr>
              <w:contextualSpacing/>
              <w:rPr>
                <w:rFonts w:asciiTheme="majorHAnsi" w:eastAsia="Calibri" w:hAnsiTheme="majorHAnsi" w:cstheme="majorHAnsi"/>
                <w:bCs/>
              </w:rPr>
            </w:pPr>
            <w:r w:rsidRPr="00A7071D">
              <w:rPr>
                <w:rFonts w:asciiTheme="majorHAnsi" w:eastAsia="Calibri" w:hAnsiTheme="majorHAnsi" w:cstheme="majorHAnsi"/>
                <w:bCs/>
              </w:rPr>
              <w:t>Strategic Orientation</w:t>
            </w:r>
            <w:r w:rsidRPr="00A7071D">
              <w:rPr>
                <w:rFonts w:asciiTheme="majorHAnsi" w:eastAsia="Calibri" w:hAnsiTheme="majorHAnsi" w:cstheme="majorHAnsi"/>
                <w:bCs/>
                <w:i/>
              </w:rPr>
              <w:t>:</w:t>
            </w:r>
            <w:r w:rsidRPr="00A7071D">
              <w:rPr>
                <w:rFonts w:asciiTheme="majorHAnsi" w:eastAsia="Calibri" w:hAnsiTheme="majorHAnsi" w:cstheme="majorHAnsi"/>
                <w:bCs/>
              </w:rPr>
              <w:t xml:space="preserve"> demonstrates complex thinking abilities, incorporating both analytical and conceptual abilities to manage and develop legal plans and strategies</w:t>
            </w:r>
          </w:p>
          <w:p w:rsidR="000D453A" w:rsidRPr="00A7071D" w:rsidRDefault="000D453A" w:rsidP="000D453A">
            <w:pPr>
              <w:numPr>
                <w:ilvl w:val="0"/>
                <w:numId w:val="32"/>
              </w:numPr>
              <w:contextualSpacing/>
              <w:rPr>
                <w:rFonts w:asciiTheme="majorHAnsi" w:eastAsia="Calibri" w:hAnsiTheme="majorHAnsi" w:cstheme="majorHAnsi"/>
                <w:bCs/>
              </w:rPr>
            </w:pPr>
            <w:r w:rsidRPr="00A7071D">
              <w:rPr>
                <w:rFonts w:asciiTheme="majorHAnsi" w:eastAsia="Calibri" w:hAnsiTheme="majorHAnsi" w:cstheme="majorHAnsi"/>
                <w:bCs/>
              </w:rPr>
              <w:t>Results Orientation: demonstrated ability to be proactive, exercise independent judgment and manage multiple projects simultaneously. A strong work ethic and a track record of producing high-quality work under deadline pressures</w:t>
            </w:r>
          </w:p>
          <w:p w:rsidR="000D453A" w:rsidRPr="00A7071D" w:rsidRDefault="000D453A" w:rsidP="000D453A">
            <w:pPr>
              <w:numPr>
                <w:ilvl w:val="0"/>
                <w:numId w:val="32"/>
              </w:numPr>
              <w:contextualSpacing/>
              <w:rPr>
                <w:rFonts w:asciiTheme="majorHAnsi" w:eastAsia="Calibri" w:hAnsiTheme="majorHAnsi" w:cstheme="majorHAnsi"/>
                <w:bCs/>
              </w:rPr>
            </w:pPr>
            <w:r w:rsidRPr="00A7071D">
              <w:rPr>
                <w:rFonts w:asciiTheme="majorHAnsi" w:eastAsia="Calibri" w:hAnsiTheme="majorHAnsi" w:cstheme="majorHAnsi"/>
                <w:bCs/>
              </w:rPr>
              <w:t>Team Leadership: experience effectively managing geographically-dispersed staff of legal and administrative support professionals</w:t>
            </w:r>
          </w:p>
          <w:p w:rsidR="000D453A" w:rsidRPr="00A7071D" w:rsidRDefault="000D453A" w:rsidP="000D453A">
            <w:pPr>
              <w:numPr>
                <w:ilvl w:val="0"/>
                <w:numId w:val="32"/>
              </w:numPr>
              <w:contextualSpacing/>
              <w:rPr>
                <w:rFonts w:asciiTheme="majorHAnsi" w:eastAsia="Calibri" w:hAnsiTheme="majorHAnsi" w:cstheme="majorHAnsi"/>
                <w:i/>
              </w:rPr>
            </w:pPr>
            <w:r w:rsidRPr="00A7071D">
              <w:rPr>
                <w:rFonts w:asciiTheme="majorHAnsi" w:eastAsia="Calibri" w:hAnsiTheme="majorHAnsi" w:cstheme="majorHAnsi"/>
                <w:bCs/>
              </w:rPr>
              <w:t>Collaboration &amp; Influencing</w:t>
            </w:r>
            <w:r w:rsidRPr="00A7071D">
              <w:rPr>
                <w:rFonts w:asciiTheme="majorHAnsi" w:eastAsia="Calibri" w:hAnsiTheme="majorHAnsi" w:cstheme="majorHAnsi"/>
                <w:bCs/>
                <w:i/>
              </w:rPr>
              <w:t xml:space="preserve">: </w:t>
            </w:r>
            <w:r w:rsidRPr="00A7071D">
              <w:rPr>
                <w:rFonts w:asciiTheme="majorHAnsi" w:eastAsia="Calibri" w:hAnsiTheme="majorHAnsi" w:cstheme="majorHAnsi"/>
                <w:bCs/>
              </w:rPr>
              <w:t>proven track record of creating and managing relationships with peer executives inside the organization, outside counsel and third parties/institutions</w:t>
            </w:r>
          </w:p>
        </w:tc>
      </w:tr>
      <w:bookmarkEnd w:id="0"/>
      <w:tr w:rsidR="000D453A" w:rsidRPr="00A7071D" w:rsidTr="00E4729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0D453A" w:rsidRPr="00A7071D" w:rsidRDefault="000D453A" w:rsidP="00E4729D">
            <w:pPr>
              <w:contextualSpacing/>
              <w:jc w:val="center"/>
              <w:rPr>
                <w:rFonts w:asciiTheme="majorHAnsi" w:hAnsiTheme="majorHAnsi" w:cstheme="majorHAnsi"/>
                <w:b/>
              </w:rPr>
            </w:pPr>
            <w:r w:rsidRPr="00A7071D">
              <w:rPr>
                <w:rFonts w:asciiTheme="majorHAnsi" w:hAnsiTheme="majorHAnsi" w:cstheme="majorHAnsi"/>
                <w:b/>
              </w:rPr>
              <w:t>PAST APPOINTEES</w:t>
            </w:r>
          </w:p>
        </w:tc>
      </w:tr>
      <w:tr w:rsidR="000D453A" w:rsidRPr="00A7071D" w:rsidTr="00E4729D">
        <w:tc>
          <w:tcPr>
            <w:tcW w:w="9246" w:type="dxa"/>
            <w:gridSpan w:val="2"/>
            <w:tcBorders>
              <w:top w:val="single" w:sz="2" w:space="0" w:color="auto"/>
              <w:left w:val="single" w:sz="2" w:space="0" w:color="auto"/>
              <w:bottom w:val="single" w:sz="2" w:space="0" w:color="auto"/>
              <w:right w:val="single" w:sz="2" w:space="0" w:color="auto"/>
            </w:tcBorders>
          </w:tcPr>
          <w:p w:rsidR="000D453A" w:rsidRPr="00A7071D" w:rsidRDefault="000D453A" w:rsidP="00277B08">
            <w:pPr>
              <w:contextualSpacing/>
              <w:rPr>
                <w:rFonts w:asciiTheme="majorHAnsi" w:hAnsiTheme="majorHAnsi" w:cstheme="majorHAnsi"/>
              </w:rPr>
            </w:pPr>
            <w:r w:rsidRPr="00A7071D">
              <w:rPr>
                <w:rFonts w:asciiTheme="majorHAnsi" w:hAnsiTheme="majorHAnsi" w:cstheme="majorHAnsi"/>
              </w:rPr>
              <w:t xml:space="preserve">Robert </w:t>
            </w:r>
            <w:proofErr w:type="spellStart"/>
            <w:r w:rsidRPr="00A7071D">
              <w:rPr>
                <w:rFonts w:asciiTheme="majorHAnsi" w:hAnsiTheme="majorHAnsi" w:cstheme="majorHAnsi"/>
              </w:rPr>
              <w:t>Litt</w:t>
            </w:r>
            <w:proofErr w:type="spellEnd"/>
            <w:r w:rsidRPr="00A7071D">
              <w:rPr>
                <w:rFonts w:asciiTheme="majorHAnsi" w:hAnsiTheme="majorHAnsi" w:cstheme="majorHAnsi"/>
              </w:rPr>
              <w:t xml:space="preserve"> (2009-</w:t>
            </w:r>
            <w:r w:rsidR="00277B08">
              <w:rPr>
                <w:rFonts w:asciiTheme="majorHAnsi" w:hAnsiTheme="majorHAnsi" w:cstheme="majorHAnsi"/>
              </w:rPr>
              <w:t>2017</w:t>
            </w:r>
            <w:r w:rsidRPr="00A7071D">
              <w:rPr>
                <w:rFonts w:asciiTheme="majorHAnsi" w:hAnsiTheme="majorHAnsi" w:cstheme="majorHAnsi"/>
              </w:rPr>
              <w:t>): Partner, Arnold &amp; Porter; Principal Associate Deputy Attorney General; Deputy Assistant Attorney General in the Criminal Division</w:t>
            </w:r>
          </w:p>
        </w:tc>
      </w:tr>
      <w:tr w:rsidR="000D453A" w:rsidRPr="00A7071D" w:rsidTr="00E4729D">
        <w:tc>
          <w:tcPr>
            <w:tcW w:w="9246" w:type="dxa"/>
            <w:gridSpan w:val="2"/>
            <w:tcBorders>
              <w:top w:val="single" w:sz="2" w:space="0" w:color="auto"/>
              <w:left w:val="single" w:sz="2" w:space="0" w:color="auto"/>
              <w:bottom w:val="single" w:sz="2" w:space="0" w:color="auto"/>
              <w:right w:val="single" w:sz="2" w:space="0" w:color="auto"/>
            </w:tcBorders>
          </w:tcPr>
          <w:p w:rsidR="000D453A" w:rsidRPr="00A7071D" w:rsidRDefault="000D453A" w:rsidP="00E4729D">
            <w:pPr>
              <w:contextualSpacing/>
              <w:rPr>
                <w:rFonts w:asciiTheme="majorHAnsi" w:hAnsiTheme="majorHAnsi" w:cstheme="majorHAnsi"/>
              </w:rPr>
            </w:pPr>
            <w:r w:rsidRPr="00A7071D">
              <w:rPr>
                <w:rFonts w:asciiTheme="majorHAnsi" w:hAnsiTheme="majorHAnsi" w:cstheme="majorHAnsi"/>
              </w:rPr>
              <w:t>Benjamin Powell (2006-2009): Associate Counsel, White House Counsel’s office, focusing on national security issues; corporate lawyer and litigator; USAF and FBI service</w:t>
            </w:r>
          </w:p>
        </w:tc>
      </w:tr>
    </w:tbl>
    <w:p w:rsidR="006A3791" w:rsidRDefault="006A3791" w:rsidP="006A3791">
      <w:pPr>
        <w:pStyle w:val="Heading1"/>
        <w:rPr>
          <w:rFonts w:eastAsia="Times New Roman"/>
          <w:sz w:val="20"/>
          <w:szCs w:val="20"/>
        </w:rPr>
      </w:pPr>
      <w:r>
        <w:rPr>
          <w:rFonts w:eastAsia="Times New Roman"/>
          <w:sz w:val="20"/>
          <w:szCs w:val="20"/>
        </w:rPr>
        <w:t>Endnotes</w:t>
      </w:r>
    </w:p>
    <w:p w:rsidR="00224D1E" w:rsidRPr="00A7071D" w:rsidRDefault="006A3791">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A7071D"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29" w:rsidRDefault="00573929" w:rsidP="001E22F1">
      <w:r>
        <w:separator/>
      </w:r>
    </w:p>
  </w:endnote>
  <w:endnote w:type="continuationSeparator" w:id="0">
    <w:p w:rsidR="00573929" w:rsidRDefault="00573929" w:rsidP="001E22F1">
      <w:r>
        <w:continuationSeparator/>
      </w:r>
    </w:p>
  </w:endnote>
  <w:endnote w:id="1">
    <w:p w:rsidR="00A7071D" w:rsidRDefault="00A7071D">
      <w:pPr>
        <w:pStyle w:val="EndnoteText"/>
      </w:pPr>
      <w:r>
        <w:rPr>
          <w:rStyle w:val="EndnoteReference"/>
        </w:rPr>
        <w:endnoteRef/>
      </w:r>
      <w:r>
        <w:t xml:space="preserve"> </w:t>
      </w:r>
      <w:r w:rsidR="007F0443">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29" w:rsidRDefault="00573929" w:rsidP="001E22F1">
      <w:r>
        <w:separator/>
      </w:r>
    </w:p>
  </w:footnote>
  <w:footnote w:type="continuationSeparator" w:id="0">
    <w:p w:rsidR="00573929" w:rsidRDefault="0057392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7F044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2C566BD"/>
    <w:multiLevelType w:val="hybridMultilevel"/>
    <w:tmpl w:val="351A8596"/>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5240D"/>
    <w:multiLevelType w:val="hybridMultilevel"/>
    <w:tmpl w:val="6EE275C6"/>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8"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1"/>
  </w:num>
  <w:num w:numId="4">
    <w:abstractNumId w:val="43"/>
  </w:num>
  <w:num w:numId="5">
    <w:abstractNumId w:val="5"/>
  </w:num>
  <w:num w:numId="6">
    <w:abstractNumId w:val="39"/>
  </w:num>
  <w:num w:numId="7">
    <w:abstractNumId w:val="4"/>
  </w:num>
  <w:num w:numId="8">
    <w:abstractNumId w:val="34"/>
  </w:num>
  <w:num w:numId="9">
    <w:abstractNumId w:val="15"/>
  </w:num>
  <w:num w:numId="10">
    <w:abstractNumId w:val="6"/>
  </w:num>
  <w:num w:numId="11">
    <w:abstractNumId w:val="13"/>
  </w:num>
  <w:num w:numId="12">
    <w:abstractNumId w:val="25"/>
  </w:num>
  <w:num w:numId="13">
    <w:abstractNumId w:val="23"/>
  </w:num>
  <w:num w:numId="14">
    <w:abstractNumId w:val="28"/>
  </w:num>
  <w:num w:numId="15">
    <w:abstractNumId w:val="31"/>
  </w:num>
  <w:num w:numId="16">
    <w:abstractNumId w:val="1"/>
  </w:num>
  <w:num w:numId="17">
    <w:abstractNumId w:val="20"/>
  </w:num>
  <w:num w:numId="18">
    <w:abstractNumId w:val="38"/>
  </w:num>
  <w:num w:numId="19">
    <w:abstractNumId w:val="8"/>
  </w:num>
  <w:num w:numId="20">
    <w:abstractNumId w:val="30"/>
  </w:num>
  <w:num w:numId="21">
    <w:abstractNumId w:val="35"/>
  </w:num>
  <w:num w:numId="22">
    <w:abstractNumId w:val="10"/>
  </w:num>
  <w:num w:numId="23">
    <w:abstractNumId w:val="7"/>
  </w:num>
  <w:num w:numId="24">
    <w:abstractNumId w:val="36"/>
  </w:num>
  <w:num w:numId="25">
    <w:abstractNumId w:val="12"/>
  </w:num>
  <w:num w:numId="26">
    <w:abstractNumId w:val="2"/>
  </w:num>
  <w:num w:numId="27">
    <w:abstractNumId w:val="21"/>
  </w:num>
  <w:num w:numId="28">
    <w:abstractNumId w:val="18"/>
  </w:num>
  <w:num w:numId="29">
    <w:abstractNumId w:val="22"/>
  </w:num>
  <w:num w:numId="30">
    <w:abstractNumId w:val="33"/>
  </w:num>
  <w:num w:numId="31">
    <w:abstractNumId w:val="41"/>
  </w:num>
  <w:num w:numId="32">
    <w:abstractNumId w:val="42"/>
  </w:num>
  <w:num w:numId="33">
    <w:abstractNumId w:val="9"/>
  </w:num>
  <w:num w:numId="34">
    <w:abstractNumId w:val="0"/>
  </w:num>
  <w:num w:numId="35">
    <w:abstractNumId w:val="32"/>
  </w:num>
  <w:num w:numId="36">
    <w:abstractNumId w:val="24"/>
  </w:num>
  <w:num w:numId="37">
    <w:abstractNumId w:val="26"/>
  </w:num>
  <w:num w:numId="38">
    <w:abstractNumId w:val="19"/>
  </w:num>
  <w:num w:numId="39">
    <w:abstractNumId w:val="29"/>
  </w:num>
  <w:num w:numId="40">
    <w:abstractNumId w:val="16"/>
  </w:num>
  <w:num w:numId="41">
    <w:abstractNumId w:val="37"/>
  </w:num>
  <w:num w:numId="42">
    <w:abstractNumId w:val="17"/>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20A"/>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D453A"/>
    <w:rsid w:val="000E0157"/>
    <w:rsid w:val="000E05E6"/>
    <w:rsid w:val="000E398B"/>
    <w:rsid w:val="000E399D"/>
    <w:rsid w:val="000F0F0A"/>
    <w:rsid w:val="000F2228"/>
    <w:rsid w:val="000F3659"/>
    <w:rsid w:val="000F3B5D"/>
    <w:rsid w:val="000F6976"/>
    <w:rsid w:val="000F69F1"/>
    <w:rsid w:val="001031D3"/>
    <w:rsid w:val="00106C24"/>
    <w:rsid w:val="001150DF"/>
    <w:rsid w:val="0012306F"/>
    <w:rsid w:val="00125E3B"/>
    <w:rsid w:val="00125E46"/>
    <w:rsid w:val="0012723C"/>
    <w:rsid w:val="001319D4"/>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77B08"/>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392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A3791"/>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443"/>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7071D"/>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6168">
      <w:bodyDiv w:val="1"/>
      <w:marLeft w:val="0"/>
      <w:marRight w:val="0"/>
      <w:marTop w:val="0"/>
      <w:marBottom w:val="0"/>
      <w:divBdr>
        <w:top w:val="none" w:sz="0" w:space="0" w:color="auto"/>
        <w:left w:val="none" w:sz="0" w:space="0" w:color="auto"/>
        <w:bottom w:val="none" w:sz="0" w:space="0" w:color="auto"/>
        <w:right w:val="none" w:sz="0" w:space="0" w:color="auto"/>
      </w:divBdr>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1F541E"/>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C554DE"/>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27915DB2-1588-420C-A695-1A6062B1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2017-02-17T16:48:00Z</dcterms:created>
  <dcterms:modified xsi:type="dcterms:W3CDTF">2017-08-23T20:24:00Z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