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634D11E6" w:rsidR="004B5D5B" w:rsidRPr="00D56177" w:rsidRDefault="006C471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federal co-chairperson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northern border regional commission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25C44020" w:rsidR="00B30C4A" w:rsidRPr="00D56177" w:rsidRDefault="005345E4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1416A5AE" w:rsidR="0030193E" w:rsidRPr="00D56177" w:rsidRDefault="00835015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835015">
              <w:rPr>
                <w:rFonts w:asciiTheme="majorHAnsi" w:hAnsiTheme="majorHAnsi" w:cstheme="majorHAnsi"/>
              </w:rPr>
              <w:t>o ca</w:t>
            </w:r>
            <w:r>
              <w:rPr>
                <w:rFonts w:asciiTheme="majorHAnsi" w:hAnsiTheme="majorHAnsi" w:cstheme="majorHAnsi"/>
              </w:rPr>
              <w:t xml:space="preserve">talyze regional, collaborative </w:t>
            </w:r>
            <w:r w:rsidRPr="00835015">
              <w:rPr>
                <w:rFonts w:asciiTheme="majorHAnsi" w:hAnsiTheme="majorHAnsi" w:cstheme="majorHAnsi"/>
              </w:rPr>
              <w:t>and transformative community economic development approaches that alleviate economic distress and position the region for economic growth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5C6B97B7" w:rsidR="00661AE5" w:rsidRPr="00D56177" w:rsidRDefault="00835015" w:rsidP="00B202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federal c</w:t>
            </w:r>
            <w:r w:rsidRPr="007B1620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-chairperson </w:t>
            </w:r>
            <w:r w:rsidR="00FC1612" w:rsidRPr="00FC1612">
              <w:rPr>
                <w:rFonts w:asciiTheme="majorHAnsi" w:hAnsiTheme="majorHAnsi" w:cstheme="majorHAnsi"/>
              </w:rPr>
              <w:t>serve</w:t>
            </w:r>
            <w:r w:rsidR="00B20288">
              <w:rPr>
                <w:rFonts w:asciiTheme="majorHAnsi" w:hAnsiTheme="majorHAnsi" w:cstheme="majorHAnsi"/>
              </w:rPr>
              <w:t>s</w:t>
            </w:r>
            <w:r w:rsidR="00FC1612" w:rsidRPr="00FC1612">
              <w:rPr>
                <w:rFonts w:asciiTheme="majorHAnsi" w:hAnsiTheme="majorHAnsi" w:cstheme="majorHAnsi"/>
              </w:rPr>
              <w:t xml:space="preserve"> as a liaison between the federal</w:t>
            </w:r>
            <w:r w:rsidR="00B20288">
              <w:rPr>
                <w:rFonts w:asciiTheme="majorHAnsi" w:hAnsiTheme="majorHAnsi" w:cstheme="majorHAnsi"/>
              </w:rPr>
              <w:t xml:space="preserve"> </w:t>
            </w:r>
            <w:r w:rsidR="00FC1612">
              <w:rPr>
                <w:rFonts w:asciiTheme="majorHAnsi" w:hAnsiTheme="majorHAnsi" w:cstheme="majorHAnsi"/>
              </w:rPr>
              <w:t>government and the commission</w:t>
            </w:r>
            <w:r w:rsidR="00B20288">
              <w:rPr>
                <w:rFonts w:asciiTheme="majorHAnsi" w:hAnsiTheme="majorHAnsi" w:cstheme="majorHAnsi"/>
              </w:rPr>
              <w:t>.</w:t>
            </w:r>
            <w:r w:rsidR="00FC1612">
              <w:rPr>
                <w:rFonts w:asciiTheme="majorHAnsi" w:hAnsiTheme="majorHAnsi" w:cstheme="majorHAnsi"/>
              </w:rPr>
              <w:t xml:space="preserve"> He or she </w:t>
            </w:r>
            <w:r>
              <w:rPr>
                <w:rFonts w:asciiTheme="majorHAnsi" w:hAnsiTheme="majorHAnsi" w:cstheme="majorHAnsi"/>
              </w:rPr>
              <w:t xml:space="preserve">works to </w:t>
            </w:r>
            <w:r w:rsidRPr="007B1620">
              <w:rPr>
                <w:rFonts w:asciiTheme="majorHAnsi" w:hAnsiTheme="majorHAnsi" w:cstheme="majorHAnsi"/>
              </w:rPr>
              <w:t>provide economic and infrastructure development grants to projects within the most economically distressed counties of Maine, New Ham</w:t>
            </w:r>
            <w:r>
              <w:rPr>
                <w:rFonts w:asciiTheme="majorHAnsi" w:hAnsiTheme="majorHAnsi" w:cstheme="majorHAnsi"/>
              </w:rPr>
              <w:t>pshire, Vermont and New York.</w:t>
            </w:r>
            <w:r w:rsidR="00B20288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7858896D" w:rsidR="00661AE5" w:rsidRPr="00D56177" w:rsidRDefault="0095718F" w:rsidP="00CA3B7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CA3B76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497408C3" w:rsidR="00D33A2A" w:rsidRPr="00D56177" w:rsidRDefault="00B20288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President of the United States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3E666472" w:rsidR="00286E47" w:rsidRPr="00ED5B79" w:rsidRDefault="00845EE3" w:rsidP="00B20288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NBRC is </w:t>
            </w:r>
            <w:r w:rsidRPr="007B1620">
              <w:rPr>
                <w:rFonts w:asciiTheme="majorHAnsi" w:hAnsiTheme="majorHAnsi" w:cstheme="majorHAnsi"/>
              </w:rPr>
              <w:t>ope</w:t>
            </w:r>
            <w:r>
              <w:rPr>
                <w:rFonts w:asciiTheme="majorHAnsi" w:hAnsiTheme="majorHAnsi" w:cstheme="majorHAnsi"/>
              </w:rPr>
              <w:t>rated by the federal co-chair,</w:t>
            </w:r>
            <w:r w:rsidRPr="007B1620">
              <w:rPr>
                <w:rFonts w:asciiTheme="majorHAnsi" w:hAnsiTheme="majorHAnsi" w:cstheme="majorHAnsi"/>
              </w:rPr>
              <w:t xml:space="preserve"> one program person, and one executive assistant,</w:t>
            </w:r>
            <w:r>
              <w:rPr>
                <w:rFonts w:asciiTheme="majorHAnsi" w:hAnsiTheme="majorHAnsi" w:cstheme="majorHAnsi"/>
              </w:rPr>
              <w:t xml:space="preserve"> making it one of the smallest f</w:t>
            </w:r>
            <w:r w:rsidRPr="007B1620">
              <w:rPr>
                <w:rFonts w:asciiTheme="majorHAnsi" w:hAnsiTheme="majorHAnsi" w:cstheme="majorHAnsi"/>
              </w:rPr>
              <w:t>ederal agencies</w:t>
            </w:r>
            <w:r>
              <w:rPr>
                <w:rFonts w:asciiTheme="majorHAnsi" w:hAnsiTheme="majorHAnsi" w:cstheme="majorHAnsi"/>
              </w:rPr>
              <w:t>.</w:t>
            </w:r>
            <w:r w:rsidR="00B20288">
              <w:rPr>
                <w:rFonts w:asciiTheme="majorHAnsi" w:hAnsiTheme="majorHAnsi" w:cstheme="majorHAnsi"/>
              </w:rPr>
              <w:t xml:space="preserve"> Its fiscal 2016 appropriations was for $7.5 million.</w:t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31C4" w14:textId="4447C441" w:rsidR="00444750" w:rsidRPr="00444750" w:rsidRDefault="00444750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444750">
              <w:rPr>
                <w:rFonts w:asciiTheme="majorHAnsi" w:hAnsiTheme="majorHAnsi" w:cstheme="majorHAnsi"/>
              </w:rPr>
              <w:t>C</w:t>
            </w:r>
            <w:r w:rsidR="007B1620" w:rsidRPr="00444750">
              <w:rPr>
                <w:rFonts w:asciiTheme="majorHAnsi" w:hAnsiTheme="majorHAnsi" w:cstheme="majorHAnsi"/>
              </w:rPr>
              <w:t>reate</w:t>
            </w:r>
            <w:r w:rsidRPr="00444750">
              <w:rPr>
                <w:rFonts w:asciiTheme="majorHAnsi" w:hAnsiTheme="majorHAnsi" w:cstheme="majorHAnsi"/>
              </w:rPr>
              <w:t>s</w:t>
            </w:r>
            <w:r w:rsidR="007B1620" w:rsidRPr="00444750">
              <w:rPr>
                <w:rFonts w:asciiTheme="majorHAnsi" w:hAnsiTheme="majorHAnsi" w:cstheme="majorHAnsi"/>
              </w:rPr>
              <w:t xml:space="preserve"> and execute</w:t>
            </w:r>
            <w:r w:rsidRPr="00444750">
              <w:rPr>
                <w:rFonts w:asciiTheme="majorHAnsi" w:hAnsiTheme="majorHAnsi" w:cstheme="majorHAnsi"/>
              </w:rPr>
              <w:t>s</w:t>
            </w:r>
            <w:r w:rsidR="007B1620" w:rsidRPr="00444750">
              <w:rPr>
                <w:rFonts w:asciiTheme="majorHAnsi" w:hAnsiTheme="majorHAnsi" w:cstheme="majorHAnsi"/>
              </w:rPr>
              <w:t xml:space="preserve"> policies and decisions</w:t>
            </w:r>
            <w:r w:rsidRPr="00444750">
              <w:rPr>
                <w:rFonts w:asciiTheme="majorHAnsi" w:hAnsiTheme="majorHAnsi" w:cstheme="majorHAnsi"/>
              </w:rPr>
              <w:t xml:space="preserve"> and develops and monitors policies and procedures related t</w:t>
            </w:r>
            <w:r w:rsidR="00F135A3">
              <w:rPr>
                <w:rFonts w:asciiTheme="majorHAnsi" w:hAnsiTheme="majorHAnsi" w:cstheme="majorHAnsi"/>
              </w:rPr>
              <w:t>o NBRC programs and operations</w:t>
            </w:r>
          </w:p>
          <w:p w14:paraId="354018FB" w14:textId="77777777" w:rsidR="00444750" w:rsidRDefault="00444750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444750">
              <w:rPr>
                <w:rFonts w:asciiTheme="majorHAnsi" w:hAnsiTheme="majorHAnsi" w:cstheme="majorHAnsi"/>
              </w:rPr>
              <w:t>Leads strategic change to meet t</w:t>
            </w:r>
            <w:r>
              <w:rPr>
                <w:rFonts w:asciiTheme="majorHAnsi" w:hAnsiTheme="majorHAnsi" w:cstheme="majorHAnsi"/>
              </w:rPr>
              <w:t>he NBRC's organizational goals</w:t>
            </w:r>
            <w:r w:rsidRPr="007B1620">
              <w:rPr>
                <w:rFonts w:asciiTheme="majorHAnsi" w:hAnsiTheme="majorHAnsi" w:cstheme="majorHAnsi"/>
              </w:rPr>
              <w:t xml:space="preserve"> </w:t>
            </w:r>
          </w:p>
          <w:p w14:paraId="75625699" w14:textId="1F5FC31C" w:rsidR="00444750" w:rsidRDefault="00444750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7B1620">
              <w:rPr>
                <w:rFonts w:asciiTheme="majorHAnsi" w:hAnsiTheme="majorHAnsi" w:cstheme="majorHAnsi"/>
              </w:rPr>
              <w:t>Monitor</w:t>
            </w:r>
            <w:r>
              <w:rPr>
                <w:rFonts w:asciiTheme="majorHAnsi" w:hAnsiTheme="majorHAnsi" w:cstheme="majorHAnsi"/>
              </w:rPr>
              <w:t>s</w:t>
            </w:r>
            <w:r w:rsidRPr="007B1620">
              <w:rPr>
                <w:rFonts w:asciiTheme="majorHAnsi" w:hAnsiTheme="majorHAnsi" w:cstheme="majorHAnsi"/>
              </w:rPr>
              <w:t xml:space="preserve"> progress on meeting the NBRC's</w:t>
            </w:r>
            <w:r w:rsidR="00F135A3">
              <w:rPr>
                <w:rFonts w:asciiTheme="majorHAnsi" w:hAnsiTheme="majorHAnsi" w:cstheme="majorHAnsi"/>
              </w:rPr>
              <w:t xml:space="preserve"> five-</w:t>
            </w:r>
            <w:r>
              <w:rPr>
                <w:rFonts w:asciiTheme="majorHAnsi" w:hAnsiTheme="majorHAnsi" w:cstheme="majorHAnsi"/>
              </w:rPr>
              <w:t>year strategic objectives</w:t>
            </w:r>
          </w:p>
          <w:p w14:paraId="2E913A4D" w14:textId="08DDB0AD" w:rsidR="00444750" w:rsidRDefault="00444750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7B1620">
              <w:rPr>
                <w:rFonts w:asciiTheme="majorHAnsi" w:hAnsiTheme="majorHAnsi" w:cstheme="majorHAnsi"/>
              </w:rPr>
              <w:t>Evaluate</w:t>
            </w:r>
            <w:r>
              <w:rPr>
                <w:rFonts w:asciiTheme="majorHAnsi" w:hAnsiTheme="majorHAnsi" w:cstheme="majorHAnsi"/>
              </w:rPr>
              <w:t>s</w:t>
            </w:r>
            <w:r w:rsidRPr="007B1620">
              <w:rPr>
                <w:rFonts w:asciiTheme="majorHAnsi" w:hAnsiTheme="majorHAnsi" w:cstheme="majorHAnsi"/>
              </w:rPr>
              <w:t xml:space="preserve"> organizational performance and take</w:t>
            </w:r>
            <w:r>
              <w:rPr>
                <w:rFonts w:asciiTheme="majorHAnsi" w:hAnsiTheme="majorHAnsi" w:cstheme="majorHAnsi"/>
              </w:rPr>
              <w:t xml:space="preserve"> actions to improve performance</w:t>
            </w:r>
          </w:p>
          <w:p w14:paraId="7EBD33DE" w14:textId="1C0F7E01" w:rsidR="006F74B3" w:rsidRDefault="00A63B54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Prepares agency budget for </w:t>
            </w:r>
            <w:r w:rsidR="00F135A3">
              <w:rPr>
                <w:rFonts w:asciiTheme="majorHAnsi" w:hAnsiTheme="majorHAnsi" w:cstheme="majorHAnsi"/>
              </w:rPr>
              <w:t>the Office of Management and Budget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135A3">
              <w:rPr>
                <w:rFonts w:asciiTheme="majorHAnsi" w:hAnsiTheme="majorHAnsi" w:cstheme="majorHAnsi"/>
              </w:rPr>
              <w:t>and c</w:t>
            </w:r>
            <w:r w:rsidRPr="007B1620">
              <w:rPr>
                <w:rFonts w:asciiTheme="majorHAnsi" w:hAnsiTheme="majorHAnsi" w:cstheme="majorHAnsi"/>
              </w:rPr>
              <w:t>ongres</w:t>
            </w:r>
            <w:r>
              <w:rPr>
                <w:rFonts w:asciiTheme="majorHAnsi" w:hAnsiTheme="majorHAnsi" w:cstheme="majorHAnsi"/>
              </w:rPr>
              <w:t>sional appropriation committees</w:t>
            </w:r>
          </w:p>
          <w:p w14:paraId="364B4F89" w14:textId="77777777" w:rsidR="006F74B3" w:rsidRDefault="007B1620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6F74B3">
              <w:rPr>
                <w:rFonts w:asciiTheme="majorHAnsi" w:hAnsiTheme="majorHAnsi" w:cstheme="majorHAnsi"/>
              </w:rPr>
              <w:t>Engage</w:t>
            </w:r>
            <w:r w:rsidR="006F74B3">
              <w:rPr>
                <w:rFonts w:asciiTheme="majorHAnsi" w:hAnsiTheme="majorHAnsi" w:cstheme="majorHAnsi"/>
              </w:rPr>
              <w:t>s</w:t>
            </w:r>
            <w:r w:rsidRPr="006F74B3">
              <w:rPr>
                <w:rFonts w:asciiTheme="majorHAnsi" w:hAnsiTheme="majorHAnsi" w:cstheme="majorHAnsi"/>
              </w:rPr>
              <w:t xml:space="preserve"> contractors for regular economic and demographi</w:t>
            </w:r>
            <w:r w:rsidR="006F74B3">
              <w:rPr>
                <w:rFonts w:asciiTheme="majorHAnsi" w:hAnsiTheme="majorHAnsi" w:cstheme="majorHAnsi"/>
              </w:rPr>
              <w:t>c data collection and analysis</w:t>
            </w:r>
          </w:p>
          <w:p w14:paraId="4347F86D" w14:textId="4D4DDA21" w:rsidR="0016537A" w:rsidRPr="006F74B3" w:rsidRDefault="006F74B3" w:rsidP="006F74B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Manages</w:t>
            </w:r>
            <w:r w:rsidR="007B1620" w:rsidRPr="006F74B3">
              <w:rPr>
                <w:rFonts w:asciiTheme="majorHAnsi" w:hAnsiTheme="majorHAnsi" w:cstheme="majorHAnsi"/>
              </w:rPr>
              <w:t xml:space="preserve"> employees with diverse </w:t>
            </w:r>
            <w:r>
              <w:rPr>
                <w:rFonts w:asciiTheme="majorHAnsi" w:hAnsiTheme="majorHAnsi" w:cstheme="majorHAnsi"/>
              </w:rPr>
              <w:t>and demanding job descriptions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14766328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EBB2" w14:textId="7ED7A6CF" w:rsidR="00444750" w:rsidRDefault="00444750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44750">
              <w:rPr>
                <w:rFonts w:asciiTheme="majorHAnsi" w:hAnsiTheme="majorHAnsi" w:cstheme="majorHAnsi"/>
                <w:bCs/>
              </w:rPr>
              <w:t xml:space="preserve">Experience with and knowledge of </w:t>
            </w:r>
            <w:r w:rsidRPr="00444750">
              <w:rPr>
                <w:rFonts w:asciiTheme="majorHAnsi" w:hAnsiTheme="majorHAnsi" w:cstheme="majorHAnsi"/>
              </w:rPr>
              <w:t>Northern New England and New York, the challenges facing the region's forest industry dislocation, rural economic diversification strategies</w:t>
            </w:r>
            <w:r w:rsidR="00D4386F">
              <w:rPr>
                <w:rFonts w:asciiTheme="majorHAnsi" w:hAnsiTheme="majorHAnsi" w:cstheme="majorHAnsi"/>
              </w:rPr>
              <w:t>,</w:t>
            </w:r>
            <w:r w:rsidRPr="00444750">
              <w:rPr>
                <w:rFonts w:asciiTheme="majorHAnsi" w:hAnsiTheme="majorHAnsi" w:cstheme="majorHAnsi"/>
              </w:rPr>
              <w:t xml:space="preserve"> and general economic and community development principles</w:t>
            </w:r>
          </w:p>
          <w:p w14:paraId="4A9AA778" w14:textId="701379B8" w:rsidR="00A63B54" w:rsidRDefault="00444750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</w:t>
            </w:r>
            <w:r w:rsidRPr="007B1620">
              <w:rPr>
                <w:rFonts w:asciiTheme="majorHAnsi" w:hAnsiTheme="majorHAnsi" w:cstheme="majorHAnsi"/>
              </w:rPr>
              <w:t>oven mastery of policy, management</w:t>
            </w:r>
            <w:r>
              <w:rPr>
                <w:rFonts w:asciiTheme="majorHAnsi" w:hAnsiTheme="majorHAnsi" w:cstheme="majorHAnsi"/>
              </w:rPr>
              <w:t xml:space="preserve"> and administrative work</w:t>
            </w:r>
          </w:p>
          <w:p w14:paraId="479F2D90" w14:textId="77777777" w:rsidR="001659C6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</w:t>
            </w:r>
            <w:r w:rsidRPr="00A63B54">
              <w:rPr>
                <w:rFonts w:asciiTheme="majorHAnsi" w:hAnsiTheme="majorHAnsi" w:cstheme="majorHAnsi"/>
              </w:rPr>
              <w:t>pertise in creating engaging and informative content and graphics for website updating</w:t>
            </w:r>
            <w:r>
              <w:rPr>
                <w:rFonts w:asciiTheme="majorHAnsi" w:hAnsiTheme="majorHAnsi" w:cstheme="majorHAnsi"/>
              </w:rPr>
              <w:t xml:space="preserve"> and general media distribution</w:t>
            </w:r>
          </w:p>
          <w:p w14:paraId="68A212F1" w14:textId="77777777" w:rsidR="001659C6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659C6">
              <w:rPr>
                <w:rFonts w:asciiTheme="majorHAnsi" w:hAnsiTheme="majorHAnsi" w:cstheme="majorHAnsi"/>
              </w:rPr>
              <w:t xml:space="preserve">General experience with </w:t>
            </w:r>
            <w:r w:rsidR="001659C6">
              <w:rPr>
                <w:rFonts w:asciiTheme="majorHAnsi" w:hAnsiTheme="majorHAnsi" w:cstheme="majorHAnsi"/>
              </w:rPr>
              <w:t>f</w:t>
            </w:r>
            <w:r w:rsidRPr="001659C6">
              <w:rPr>
                <w:rFonts w:asciiTheme="majorHAnsi" w:hAnsiTheme="majorHAnsi" w:cstheme="majorHAnsi"/>
              </w:rPr>
              <w:t>ed</w:t>
            </w:r>
            <w:r w:rsidR="001659C6">
              <w:rPr>
                <w:rFonts w:asciiTheme="majorHAnsi" w:hAnsiTheme="majorHAnsi" w:cstheme="majorHAnsi"/>
              </w:rPr>
              <w:t>eral grant creation, management and oversight</w:t>
            </w:r>
          </w:p>
          <w:p w14:paraId="1978B370" w14:textId="3C0A4A70" w:rsidR="001659C6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659C6">
              <w:rPr>
                <w:rFonts w:asciiTheme="majorHAnsi" w:hAnsiTheme="majorHAnsi" w:cstheme="majorHAnsi"/>
              </w:rPr>
              <w:t>Knowledge of gene</w:t>
            </w:r>
            <w:r w:rsidR="001659C6">
              <w:rPr>
                <w:rFonts w:asciiTheme="majorHAnsi" w:hAnsiTheme="majorHAnsi" w:cstheme="majorHAnsi"/>
              </w:rPr>
              <w:t>ral procurement, human resource</w:t>
            </w:r>
            <w:r w:rsidRPr="001659C6">
              <w:rPr>
                <w:rFonts w:asciiTheme="majorHAnsi" w:hAnsiTheme="majorHAnsi" w:cstheme="majorHAnsi"/>
              </w:rPr>
              <w:t xml:space="preserve"> and legal processes (with a</w:t>
            </w:r>
            <w:r w:rsidR="001659C6">
              <w:rPr>
                <w:rFonts w:asciiTheme="majorHAnsi" w:hAnsiTheme="majorHAnsi" w:cstheme="majorHAnsi"/>
              </w:rPr>
              <w:t xml:space="preserve">ssistance contracted from </w:t>
            </w:r>
            <w:r w:rsidR="009C74F3">
              <w:rPr>
                <w:rFonts w:asciiTheme="majorHAnsi" w:hAnsiTheme="majorHAnsi" w:cstheme="majorHAnsi"/>
              </w:rPr>
              <w:t>the General Services Administration</w:t>
            </w:r>
            <w:r w:rsidR="001659C6">
              <w:rPr>
                <w:rFonts w:asciiTheme="majorHAnsi" w:hAnsiTheme="majorHAnsi" w:cstheme="majorHAnsi"/>
              </w:rPr>
              <w:t>)</w:t>
            </w:r>
          </w:p>
          <w:p w14:paraId="47D8CBF3" w14:textId="2EA7FDA2" w:rsidR="00444750" w:rsidRPr="001659C6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659C6">
              <w:rPr>
                <w:rFonts w:asciiTheme="majorHAnsi" w:hAnsiTheme="majorHAnsi" w:cstheme="majorHAnsi"/>
              </w:rPr>
              <w:t xml:space="preserve">Understanding of general financial accounting documents as provided by </w:t>
            </w:r>
            <w:proofErr w:type="spellStart"/>
            <w:r w:rsidRPr="001659C6">
              <w:rPr>
                <w:rFonts w:asciiTheme="majorHAnsi" w:hAnsiTheme="majorHAnsi" w:cstheme="majorHAnsi"/>
              </w:rPr>
              <w:t>DoA</w:t>
            </w:r>
            <w:proofErr w:type="spellEnd"/>
            <w:r w:rsidR="001659C6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54D8" w14:textId="77777777" w:rsid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A63B54">
              <w:rPr>
                <w:rFonts w:asciiTheme="majorHAnsi" w:hAnsiTheme="majorHAnsi" w:cstheme="majorHAnsi"/>
              </w:rPr>
              <w:t xml:space="preserve">rusted </w:t>
            </w:r>
            <w:r>
              <w:rPr>
                <w:rFonts w:asciiTheme="majorHAnsi" w:hAnsiTheme="majorHAnsi" w:cstheme="majorHAnsi"/>
              </w:rPr>
              <w:t>and effective workplace leader</w:t>
            </w:r>
          </w:p>
          <w:p w14:paraId="5508D1A2" w14:textId="77777777" w:rsid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Results driven</w:t>
            </w:r>
          </w:p>
          <w:p w14:paraId="3A1F9EFC" w14:textId="77777777" w:rsid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business acumen</w:t>
            </w:r>
          </w:p>
          <w:p w14:paraId="747717D8" w14:textId="7E3B8E0B" w:rsidR="00A63B54" w:rsidRP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63B54">
              <w:rPr>
                <w:rFonts w:asciiTheme="majorHAnsi" w:hAnsiTheme="majorHAnsi" w:cstheme="majorHAnsi"/>
              </w:rPr>
              <w:t>Ability to build working coalitions and partnerships, particularly with the NBRC's s</w:t>
            </w:r>
            <w:r>
              <w:rPr>
                <w:rFonts w:asciiTheme="majorHAnsi" w:hAnsiTheme="majorHAnsi" w:cstheme="majorHAnsi"/>
              </w:rPr>
              <w:t>tate partners</w:t>
            </w:r>
          </w:p>
          <w:p w14:paraId="4D2C3C5B" w14:textId="77777777" w:rsidR="00A63B54" w:rsidRP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63B54">
              <w:rPr>
                <w:rFonts w:asciiTheme="majorHAnsi" w:hAnsiTheme="majorHAnsi" w:cstheme="majorHAnsi"/>
              </w:rPr>
              <w:t>Ability to suc</w:t>
            </w:r>
            <w:r>
              <w:rPr>
                <w:rFonts w:asciiTheme="majorHAnsi" w:hAnsiTheme="majorHAnsi" w:cstheme="majorHAnsi"/>
              </w:rPr>
              <w:t>cessfully integrate with other f</w:t>
            </w:r>
            <w:r w:rsidRPr="00A63B54">
              <w:rPr>
                <w:rFonts w:asciiTheme="majorHAnsi" w:hAnsiTheme="majorHAnsi" w:cstheme="majorHAnsi"/>
              </w:rPr>
              <w:t>ederal organizations to create multi-agency comprehe</w:t>
            </w:r>
            <w:r>
              <w:rPr>
                <w:rFonts w:asciiTheme="majorHAnsi" w:hAnsiTheme="majorHAnsi" w:cstheme="majorHAnsi"/>
              </w:rPr>
              <w:t>nsive programs and initiatives</w:t>
            </w:r>
            <w:r w:rsidRPr="00A63B54">
              <w:rPr>
                <w:rFonts w:asciiTheme="majorHAnsi" w:hAnsiTheme="majorHAnsi" w:cstheme="majorHAnsi"/>
              </w:rPr>
              <w:t xml:space="preserve"> </w:t>
            </w:r>
          </w:p>
          <w:p w14:paraId="29A61AC9" w14:textId="77777777" w:rsidR="00A63B54" w:rsidRP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63B54">
              <w:rPr>
                <w:rFonts w:asciiTheme="majorHAnsi" w:hAnsiTheme="majorHAnsi" w:cstheme="majorHAnsi"/>
              </w:rPr>
              <w:t>Abilit</w:t>
            </w:r>
            <w:r>
              <w:rPr>
                <w:rFonts w:asciiTheme="majorHAnsi" w:hAnsiTheme="majorHAnsi" w:cstheme="majorHAnsi"/>
              </w:rPr>
              <w:t>y to successfully partner with m</w:t>
            </w:r>
            <w:r w:rsidRPr="00A63B54">
              <w:rPr>
                <w:rFonts w:asciiTheme="majorHAnsi" w:hAnsiTheme="majorHAnsi" w:cstheme="majorHAnsi"/>
              </w:rPr>
              <w:t>embers of Congress in NBRC service area as well</w:t>
            </w:r>
            <w:r>
              <w:rPr>
                <w:rFonts w:asciiTheme="majorHAnsi" w:hAnsiTheme="majorHAnsi" w:cstheme="majorHAnsi"/>
              </w:rPr>
              <w:t xml:space="preserve"> as communicate regularly with c</w:t>
            </w:r>
            <w:r w:rsidRPr="00A63B54">
              <w:rPr>
                <w:rFonts w:asciiTheme="majorHAnsi" w:hAnsiTheme="majorHAnsi" w:cstheme="majorHAnsi"/>
              </w:rPr>
              <w:t>ongressional oversight</w:t>
            </w:r>
            <w:r>
              <w:rPr>
                <w:rFonts w:asciiTheme="majorHAnsi" w:hAnsiTheme="majorHAnsi" w:cstheme="majorHAnsi"/>
              </w:rPr>
              <w:t xml:space="preserve"> and appropriations committees</w:t>
            </w:r>
          </w:p>
          <w:p w14:paraId="6E41123F" w14:textId="77777777" w:rsidR="00A63B54" w:rsidRPr="00A63B54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A63B54">
              <w:rPr>
                <w:rFonts w:asciiTheme="majorHAnsi" w:hAnsiTheme="majorHAnsi" w:cstheme="majorHAnsi"/>
              </w:rPr>
              <w:t>omfortable and proficient with using social media outlets</w:t>
            </w:r>
          </w:p>
          <w:p w14:paraId="4AC53B01" w14:textId="77777777" w:rsidR="00A63B54" w:rsidRPr="001659C6" w:rsidRDefault="00A63B54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63B54">
              <w:rPr>
                <w:rFonts w:asciiTheme="majorHAnsi" w:hAnsiTheme="majorHAnsi" w:cstheme="majorHAnsi"/>
              </w:rPr>
              <w:t>Proficient with office technology (computer networking, Google analytics, website maintenance, Constant Contact, Adobe Creative Suite, etc.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565A8DC" w14:textId="57131D0E" w:rsidR="001659C6" w:rsidRPr="00A63B54" w:rsidRDefault="001659C6" w:rsidP="001659C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Ability to cle</w:t>
            </w:r>
            <w:r w:rsidRPr="007B1620">
              <w:rPr>
                <w:rFonts w:asciiTheme="majorHAnsi" w:hAnsiTheme="majorHAnsi" w:cstheme="majorHAnsi"/>
              </w:rPr>
              <w:t>arly articulate the NBRC's mission to the public through frequent speaking engag</w:t>
            </w:r>
            <w:r>
              <w:rPr>
                <w:rFonts w:asciiTheme="majorHAnsi" w:hAnsiTheme="majorHAnsi" w:cstheme="majorHAnsi"/>
              </w:rPr>
              <w:t>ements and informational events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0A9590A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575FD99F" w:rsidR="00BE379B" w:rsidRPr="00D56177" w:rsidRDefault="00006936" w:rsidP="000069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Mark </w:t>
            </w:r>
            <w:proofErr w:type="spellStart"/>
            <w:r>
              <w:rPr>
                <w:rFonts w:asciiTheme="majorHAnsi" w:hAnsiTheme="majorHAnsi" w:cstheme="majorHAnsi"/>
              </w:rPr>
              <w:t>Scarano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2015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Chief Executive Officer, Grafton Regional Development Corporation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>Executive Director, Piscataquis County Economic Development Council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>Business Development Director, Piscataquis County Economic Development Council</w:t>
            </w:r>
            <w:r w:rsidR="00D67289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51E5146B" w:rsidR="00BE379B" w:rsidRPr="00D56177" w:rsidRDefault="00006936" w:rsidP="00D06660">
            <w:pPr>
              <w:rPr>
                <w:rFonts w:asciiTheme="majorHAnsi" w:hAnsiTheme="majorHAnsi" w:cstheme="majorHAnsi"/>
              </w:rPr>
            </w:pPr>
            <w:proofErr w:type="spellStart"/>
            <w:r w:rsidRPr="00006936">
              <w:rPr>
                <w:rFonts w:asciiTheme="majorHAnsi" w:hAnsiTheme="majorHAnsi" w:cstheme="majorHAnsi"/>
              </w:rPr>
              <w:t>Sandford</w:t>
            </w:r>
            <w:proofErr w:type="spellEnd"/>
            <w:r w:rsidRPr="00006936">
              <w:rPr>
                <w:rFonts w:asciiTheme="majorHAnsi" w:hAnsiTheme="majorHAnsi" w:cstheme="majorHAnsi"/>
              </w:rPr>
              <w:t xml:space="preserve"> Blitz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</w:t>
            </w:r>
            <w:r w:rsidR="00D67289">
              <w:rPr>
                <w:rFonts w:asciiTheme="majorHAnsi" w:hAnsiTheme="majorHAnsi" w:cstheme="majorHAnsi"/>
              </w:rPr>
              <w:t xml:space="preserve"> to 2015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D06660">
              <w:rPr>
                <w:rFonts w:asciiTheme="majorHAnsi" w:hAnsiTheme="majorHAnsi" w:cstheme="majorHAnsi"/>
              </w:rPr>
              <w:t>Fo</w:t>
            </w:r>
            <w:r w:rsidR="00D67289" w:rsidRPr="00D67289">
              <w:rPr>
                <w:rFonts w:asciiTheme="majorHAnsi" w:hAnsiTheme="majorHAnsi" w:cstheme="majorHAnsi"/>
              </w:rPr>
              <w:t xml:space="preserve">under and </w:t>
            </w:r>
            <w:r w:rsidR="00D06660">
              <w:rPr>
                <w:rFonts w:asciiTheme="majorHAnsi" w:hAnsiTheme="majorHAnsi" w:cstheme="majorHAnsi"/>
              </w:rPr>
              <w:t xml:space="preserve">Principal, </w:t>
            </w:r>
            <w:proofErr w:type="spellStart"/>
            <w:r w:rsidR="00D67289">
              <w:rPr>
                <w:rFonts w:asciiTheme="majorHAnsi" w:hAnsiTheme="majorHAnsi" w:cstheme="majorHAnsi"/>
              </w:rPr>
              <w:t>Emesbee</w:t>
            </w:r>
            <w:proofErr w:type="spellEnd"/>
            <w:r w:rsidR="00D67289">
              <w:rPr>
                <w:rFonts w:asciiTheme="majorHAnsi" w:hAnsiTheme="majorHAnsi" w:cstheme="majorHAnsi"/>
              </w:rPr>
              <w:t xml:space="preserve"> Associates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D06660">
              <w:rPr>
                <w:rFonts w:asciiTheme="majorHAnsi" w:hAnsiTheme="majorHAnsi" w:cstheme="majorHAnsi"/>
              </w:rPr>
              <w:t xml:space="preserve">Regional Administrator, </w:t>
            </w:r>
            <w:r w:rsidR="00D67289" w:rsidRPr="00D67289">
              <w:rPr>
                <w:rFonts w:asciiTheme="majorHAnsi" w:hAnsiTheme="majorHAnsi" w:cstheme="majorHAnsi"/>
              </w:rPr>
              <w:t>U.S. Small Business Administration</w:t>
            </w:r>
            <w:r w:rsidR="00D67289">
              <w:rPr>
                <w:rFonts w:asciiTheme="majorHAnsi" w:hAnsiTheme="majorHAnsi" w:cstheme="majorHAnsi"/>
              </w:rPr>
              <w:t>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D67289" w:rsidRPr="00D67289">
              <w:rPr>
                <w:rFonts w:asciiTheme="majorHAnsi" w:hAnsiTheme="majorHAnsi" w:cstheme="majorHAnsi"/>
              </w:rPr>
              <w:t>Econ</w:t>
            </w:r>
            <w:r w:rsidR="00D06660">
              <w:rPr>
                <w:rFonts w:asciiTheme="majorHAnsi" w:hAnsiTheme="majorHAnsi" w:cstheme="majorHAnsi"/>
              </w:rPr>
              <w:t xml:space="preserve">omic Development Representative, </w:t>
            </w:r>
            <w:r w:rsidR="00D67289" w:rsidRPr="00D67289">
              <w:rPr>
                <w:rFonts w:asciiTheme="majorHAnsi" w:hAnsiTheme="majorHAnsi" w:cstheme="majorHAnsi"/>
              </w:rPr>
              <w:t>Economic Development Administratio</w:t>
            </w:r>
            <w:r w:rsidR="00D67289">
              <w:rPr>
                <w:rFonts w:asciiTheme="majorHAnsi" w:hAnsiTheme="majorHAnsi" w:cstheme="majorHAnsi"/>
              </w:rPr>
              <w:t>n</w:t>
            </w:r>
            <w:r w:rsidR="00D06660">
              <w:rPr>
                <w:rFonts w:asciiTheme="majorHAnsi" w:hAnsiTheme="majorHAnsi" w:cstheme="majorHAnsi"/>
              </w:rPr>
              <w:t>,</w:t>
            </w:r>
            <w:r w:rsidR="00D06660" w:rsidRPr="00D67289">
              <w:rPr>
                <w:rFonts w:asciiTheme="majorHAnsi" w:hAnsiTheme="majorHAnsi" w:cstheme="majorHAnsi"/>
              </w:rPr>
              <w:t xml:space="preserve"> </w:t>
            </w:r>
            <w:r w:rsidR="00D06660">
              <w:rPr>
                <w:rFonts w:asciiTheme="majorHAnsi" w:hAnsiTheme="majorHAnsi" w:cstheme="majorHAnsi"/>
              </w:rPr>
              <w:t>Department of Commerce</w:t>
            </w:r>
            <w:r w:rsidR="00D06660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4ECB93F2" w14:textId="1E5D6570" w:rsidR="00835015" w:rsidRDefault="0083501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35015">
        <w:t>http://www.nbrc.gov/content/about</w:t>
      </w:r>
    </w:p>
  </w:endnote>
  <w:endnote w:id="2">
    <w:p w14:paraId="26A8309B" w14:textId="60E3DB90" w:rsidR="00B20288" w:rsidRDefault="00B2028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14:paraId="3E0CD01E" w14:textId="72017F72" w:rsidR="00EA3278" w:rsidRDefault="00EA3278" w:rsidP="00CA3B76">
      <w:r>
        <w:rPr>
          <w:rStyle w:val="EndnoteReference"/>
        </w:rPr>
        <w:endnoteRef/>
      </w:r>
      <w:r>
        <w:t xml:space="preserve"> </w:t>
      </w:r>
      <w:r w:rsidR="00CA3B76">
        <w:t>The Consolidated Appropriations Ac</w:t>
      </w:r>
      <w:bookmarkStart w:id="1" w:name="_GoBack"/>
      <w:bookmarkEnd w:id="1"/>
      <w:r w:rsidR="00CA3B76">
        <w:t>t, 2017 (Public Law 115-31, May 5, 2017), contains a provision that continues the freeze on the payable pay rates for certain senior political officials at 2013</w:t>
      </w:r>
      <w:r w:rsidR="00CA3B76">
        <w:t xml:space="preserve"> </w:t>
      </w:r>
      <w:r w:rsidR="00CA3B76">
        <w:t>levels during calendar year 2017.</w:t>
      </w:r>
    </w:p>
  </w:endnote>
  <w:endnote w:id="4">
    <w:p w14:paraId="3EB5F835" w14:textId="6C695188" w:rsidR="006F74B3" w:rsidRDefault="006F74B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7DB9F17C" w14:textId="41FE626F" w:rsidR="001659C6" w:rsidRDefault="001659C6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14:paraId="134E8F09" w14:textId="10E1B2F0" w:rsidR="001659C6" w:rsidRDefault="001659C6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14:paraId="132C8E38" w14:textId="43D94AB2" w:rsidR="00D67289" w:rsidRDefault="00D672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67289">
        <w:t>https://www.linkedin.com/in/markscarano/</w:t>
      </w:r>
    </w:p>
  </w:endnote>
  <w:endnote w:id="8">
    <w:p w14:paraId="17276051" w14:textId="1AC89F4B" w:rsidR="00D06660" w:rsidRDefault="00D066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06660">
        <w:t>http://www.presidency.ucsb.edu/ws/index.php?pid=122254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CA3B7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9B9"/>
    <w:multiLevelType w:val="hybridMultilevel"/>
    <w:tmpl w:val="2D88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12B86"/>
    <w:multiLevelType w:val="hybridMultilevel"/>
    <w:tmpl w:val="FCB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6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9"/>
  </w:num>
  <w:num w:numId="28">
    <w:abstractNumId w:val="16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693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1659"/>
    <w:rsid w:val="00150E02"/>
    <w:rsid w:val="00160969"/>
    <w:rsid w:val="00160F21"/>
    <w:rsid w:val="0016537A"/>
    <w:rsid w:val="001658B6"/>
    <w:rsid w:val="001659C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5DC"/>
    <w:rsid w:val="001C0B08"/>
    <w:rsid w:val="001C1577"/>
    <w:rsid w:val="001C2D85"/>
    <w:rsid w:val="001C39AC"/>
    <w:rsid w:val="001C5463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02AC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44750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18C2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45E4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67E2D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4717"/>
    <w:rsid w:val="006E008A"/>
    <w:rsid w:val="006E374B"/>
    <w:rsid w:val="006E50C0"/>
    <w:rsid w:val="006F74B3"/>
    <w:rsid w:val="007043CA"/>
    <w:rsid w:val="0072243C"/>
    <w:rsid w:val="007237FA"/>
    <w:rsid w:val="00732A91"/>
    <w:rsid w:val="00736EC8"/>
    <w:rsid w:val="00737980"/>
    <w:rsid w:val="00741D94"/>
    <w:rsid w:val="00742904"/>
    <w:rsid w:val="007467DF"/>
    <w:rsid w:val="00756A61"/>
    <w:rsid w:val="00757BC3"/>
    <w:rsid w:val="00762481"/>
    <w:rsid w:val="0076444F"/>
    <w:rsid w:val="007872BC"/>
    <w:rsid w:val="00790CC5"/>
    <w:rsid w:val="007A377A"/>
    <w:rsid w:val="007B1620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5015"/>
    <w:rsid w:val="00836810"/>
    <w:rsid w:val="00843FE7"/>
    <w:rsid w:val="00845BCF"/>
    <w:rsid w:val="00845EE3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74F3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477F9"/>
    <w:rsid w:val="00A54EF3"/>
    <w:rsid w:val="00A57F7F"/>
    <w:rsid w:val="00A63B54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0288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76743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2CB9"/>
    <w:rsid w:val="00C866F7"/>
    <w:rsid w:val="00C87AFC"/>
    <w:rsid w:val="00C90AD7"/>
    <w:rsid w:val="00C94E0B"/>
    <w:rsid w:val="00CA0F50"/>
    <w:rsid w:val="00CA3B76"/>
    <w:rsid w:val="00CA6785"/>
    <w:rsid w:val="00CC2512"/>
    <w:rsid w:val="00CC278F"/>
    <w:rsid w:val="00CC416B"/>
    <w:rsid w:val="00CD14D0"/>
    <w:rsid w:val="00CD409E"/>
    <w:rsid w:val="00D00C94"/>
    <w:rsid w:val="00D05ABC"/>
    <w:rsid w:val="00D06660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86F"/>
    <w:rsid w:val="00D43B6D"/>
    <w:rsid w:val="00D51191"/>
    <w:rsid w:val="00D56177"/>
    <w:rsid w:val="00D60729"/>
    <w:rsid w:val="00D66F40"/>
    <w:rsid w:val="00D67289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0F0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79"/>
    <w:rsid w:val="00ED5B9E"/>
    <w:rsid w:val="00EE58CC"/>
    <w:rsid w:val="00EF11FF"/>
    <w:rsid w:val="00EF6FAB"/>
    <w:rsid w:val="00F11B02"/>
    <w:rsid w:val="00F1221F"/>
    <w:rsid w:val="00F135A3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1612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D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16541B-7D3D-414A-A95B-699DA15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16</cp:revision>
  <cp:lastPrinted>2016-07-12T18:00:00Z</cp:lastPrinted>
  <dcterms:created xsi:type="dcterms:W3CDTF">2017-04-10T20:46:00Z</dcterms:created>
  <dcterms:modified xsi:type="dcterms:W3CDTF">2017-08-22T19:06:00Z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