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D" w:rsidRPr="000311E4" w:rsidRDefault="00A1586D" w:rsidP="00A1586D">
      <w:pPr>
        <w:spacing w:before="480"/>
        <w:rPr>
          <w:rFonts w:ascii="Arial" w:eastAsiaTheme="majorEastAsia" w:hAnsi="Arial" w:cstheme="majorBidi"/>
          <w:bCs/>
          <w:caps/>
          <w:sz w:val="20"/>
          <w:szCs w:val="20"/>
        </w:rPr>
      </w:pPr>
      <w:bookmarkStart w:id="0" w:name="_Toc465779813"/>
      <w:r w:rsidRPr="000311E4">
        <w:rPr>
          <w:rFonts w:ascii="Arial" w:eastAsiaTheme="majorEastAsia" w:hAnsi="Arial" w:cstheme="majorBidi"/>
          <w:bCs/>
          <w:caps/>
          <w:sz w:val="20"/>
          <w:szCs w:val="20"/>
        </w:rPr>
        <w:t>POSITION DESCRIPTION</w:t>
      </w:r>
      <w:bookmarkEnd w:id="0"/>
    </w:p>
    <w:p w:rsidR="00A1586D" w:rsidRPr="000311E4" w:rsidRDefault="00A1586D" w:rsidP="00A1586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Commissioner,_Food_&amp;"/>
      <w:bookmarkStart w:id="2" w:name="_Toc465846401"/>
      <w:bookmarkEnd w:id="1"/>
      <w:r>
        <w:rPr>
          <w:rFonts w:ascii="Arial" w:eastAsiaTheme="majorEastAsia" w:hAnsi="Arial" w:cstheme="majorBidi"/>
          <w:b/>
          <w:bCs/>
          <w:caps/>
          <w:sz w:val="26"/>
          <w:szCs w:val="24"/>
        </w:rPr>
        <w:t>Commissioner of the</w:t>
      </w:r>
      <w:r w:rsidR="00957C18">
        <w:rPr>
          <w:rFonts w:ascii="Arial" w:eastAsiaTheme="majorEastAsia" w:hAnsi="Arial" w:cstheme="majorBidi"/>
          <w:b/>
          <w:bCs/>
          <w:caps/>
          <w:sz w:val="26"/>
          <w:szCs w:val="24"/>
        </w:rPr>
        <w:t xml:space="preserve"> Food and</w:t>
      </w:r>
      <w:r w:rsidRPr="000311E4">
        <w:rPr>
          <w:rFonts w:ascii="Arial" w:eastAsiaTheme="majorEastAsia" w:hAnsi="Arial" w:cstheme="majorBidi"/>
          <w:b/>
          <w:bCs/>
          <w:caps/>
          <w:sz w:val="26"/>
          <w:szCs w:val="24"/>
        </w:rPr>
        <w:t xml:space="preserve"> Drug Administration, Department of Health and Human ServiceS</w:t>
      </w:r>
      <w:bookmarkEnd w:id="2"/>
    </w:p>
    <w:p w:rsidR="00A1586D" w:rsidRPr="000311E4" w:rsidRDefault="00A1586D" w:rsidP="00A1586D"/>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64"/>
        <w:gridCol w:w="6798"/>
      </w:tblGrid>
      <w:tr w:rsidR="00A1586D" w:rsidRPr="00A1586D"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A1586D" w:rsidRPr="00A1586D" w:rsidRDefault="00A1586D" w:rsidP="00E175A3">
            <w:pPr>
              <w:contextualSpacing/>
              <w:jc w:val="center"/>
              <w:rPr>
                <w:rFonts w:asciiTheme="majorHAnsi" w:hAnsiTheme="majorHAnsi" w:cstheme="majorHAnsi"/>
                <w:b/>
              </w:rPr>
            </w:pPr>
            <w:r w:rsidRPr="00A1586D">
              <w:rPr>
                <w:rFonts w:asciiTheme="majorHAnsi" w:hAnsiTheme="majorHAnsi" w:cstheme="majorHAnsi"/>
                <w:b/>
              </w:rPr>
              <w:t>OVERVIEW</w:t>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Senate Committee</w:t>
            </w:r>
          </w:p>
        </w:tc>
        <w:tc>
          <w:tcPr>
            <w:tcW w:w="6798" w:type="dxa"/>
            <w:tcBorders>
              <w:top w:val="single" w:sz="2" w:space="0" w:color="auto"/>
              <w:left w:val="single" w:sz="2" w:space="0" w:color="auto"/>
              <w:bottom w:val="single" w:sz="2" w:space="0" w:color="auto"/>
              <w:right w:val="single" w:sz="2" w:space="0" w:color="auto"/>
            </w:tcBorders>
          </w:tcPr>
          <w:p w:rsidR="00A1586D" w:rsidRPr="00A1586D" w:rsidRDefault="00A1586D" w:rsidP="00E175A3">
            <w:pPr>
              <w:contextualSpacing/>
              <w:rPr>
                <w:rFonts w:asciiTheme="majorHAnsi" w:hAnsiTheme="majorHAnsi" w:cstheme="majorHAnsi"/>
                <w:bCs/>
              </w:rPr>
            </w:pPr>
            <w:r w:rsidRPr="00A1586D">
              <w:rPr>
                <w:rFonts w:asciiTheme="majorHAnsi" w:hAnsiTheme="majorHAnsi" w:cstheme="majorHAnsi"/>
                <w:bCs/>
              </w:rPr>
              <w:t>Health, Education, Labor and Pensions</w:t>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Agency Mission</w:t>
            </w:r>
          </w:p>
        </w:tc>
        <w:tc>
          <w:tcPr>
            <w:tcW w:w="6798" w:type="dxa"/>
            <w:tcBorders>
              <w:top w:val="single" w:sz="2" w:space="0" w:color="auto"/>
              <w:left w:val="single" w:sz="2" w:space="0" w:color="auto"/>
              <w:bottom w:val="single" w:sz="2" w:space="0" w:color="auto"/>
              <w:right w:val="single" w:sz="2" w:space="0" w:color="auto"/>
            </w:tcBorders>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lang w:val="en"/>
              </w:rPr>
              <w:t>The Food and Drug Administration (FDA) is responsible for protecting the public health by assuring the safety, efficacy and security of human and veterinary drugs, biological products, medical devices, our nation’s food supply, cosmetics and products that emit radiation.</w:t>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Position Overview</w:t>
            </w:r>
          </w:p>
        </w:tc>
        <w:tc>
          <w:tcPr>
            <w:tcW w:w="6798" w:type="dxa"/>
            <w:tcBorders>
              <w:top w:val="single" w:sz="2" w:space="0" w:color="auto"/>
              <w:left w:val="single" w:sz="2" w:space="0" w:color="auto"/>
              <w:bottom w:val="single" w:sz="2" w:space="0" w:color="auto"/>
              <w:right w:val="single" w:sz="2" w:space="0" w:color="auto"/>
            </w:tcBorders>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lang w:val="en"/>
              </w:rPr>
              <w:t>As the top official of the FDA, the Commissioner is committed to strengthening programs and policies that enable the agency to carry out its mission to protect and promote the public health.</w:t>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Compensation</w:t>
            </w:r>
          </w:p>
        </w:tc>
        <w:tc>
          <w:tcPr>
            <w:tcW w:w="6798" w:type="dxa"/>
            <w:tcBorders>
              <w:top w:val="single" w:sz="2" w:space="0" w:color="auto"/>
              <w:left w:val="single" w:sz="2" w:space="0" w:color="auto"/>
              <w:bottom w:val="single" w:sz="2" w:space="0" w:color="auto"/>
              <w:right w:val="single" w:sz="2" w:space="0" w:color="auto"/>
            </w:tcBorders>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bCs/>
              </w:rPr>
              <w:t>Level IV</w:t>
            </w:r>
            <w:r w:rsidR="006B6BD2">
              <w:rPr>
                <w:rFonts w:asciiTheme="majorHAnsi" w:hAnsiTheme="majorHAnsi" w:cstheme="majorHAnsi"/>
                <w:bCs/>
              </w:rPr>
              <w:t xml:space="preserve"> $155,500</w:t>
            </w:r>
            <w:r w:rsidRPr="00A1586D">
              <w:rPr>
                <w:rFonts w:asciiTheme="majorHAnsi" w:hAnsiTheme="majorHAnsi" w:cstheme="majorHAnsi"/>
                <w:bCs/>
              </w:rPr>
              <w:t xml:space="preserve"> (</w:t>
            </w:r>
            <w:r w:rsidRPr="00A1586D">
              <w:rPr>
                <w:rFonts w:asciiTheme="majorHAnsi" w:hAnsiTheme="majorHAnsi" w:cstheme="majorHAnsi"/>
              </w:rPr>
              <w:t>5 U.S.C. § 5315)</w:t>
            </w:r>
            <w:r w:rsidRPr="00A1586D">
              <w:rPr>
                <w:rStyle w:val="EndnoteReference"/>
                <w:rFonts w:asciiTheme="majorHAnsi" w:hAnsiTheme="majorHAnsi" w:cstheme="majorHAnsi"/>
              </w:rPr>
              <w:endnoteReference w:id="1"/>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Position Reports to</w:t>
            </w:r>
          </w:p>
        </w:tc>
        <w:tc>
          <w:tcPr>
            <w:tcW w:w="6798" w:type="dxa"/>
            <w:tcBorders>
              <w:top w:val="single" w:sz="2" w:space="0" w:color="auto"/>
              <w:left w:val="single" w:sz="2" w:space="0" w:color="auto"/>
              <w:bottom w:val="single" w:sz="2" w:space="0" w:color="auto"/>
              <w:right w:val="single" w:sz="2" w:space="0" w:color="auto"/>
            </w:tcBorders>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Secretary of Health and Human Services</w:t>
            </w:r>
          </w:p>
        </w:tc>
      </w:tr>
      <w:tr w:rsidR="00A1586D" w:rsidRPr="00A1586D"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A1586D" w:rsidRPr="00A1586D" w:rsidRDefault="00A1586D" w:rsidP="00E175A3">
            <w:pPr>
              <w:contextualSpacing/>
              <w:jc w:val="center"/>
              <w:rPr>
                <w:rFonts w:asciiTheme="majorHAnsi" w:hAnsiTheme="majorHAnsi" w:cstheme="majorHAnsi"/>
                <w:b/>
              </w:rPr>
            </w:pPr>
            <w:r w:rsidRPr="00A1586D">
              <w:rPr>
                <w:rFonts w:asciiTheme="majorHAnsi" w:hAnsiTheme="majorHAnsi" w:cstheme="majorHAnsi"/>
                <w:b/>
              </w:rPr>
              <w:t>RESPONSIBILITIES</w:t>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Management Scope</w:t>
            </w:r>
          </w:p>
        </w:tc>
        <w:tc>
          <w:tcPr>
            <w:tcW w:w="6798" w:type="dxa"/>
            <w:tcBorders>
              <w:top w:val="single" w:sz="2" w:space="0" w:color="auto"/>
              <w:left w:val="single" w:sz="2" w:space="0" w:color="auto"/>
              <w:bottom w:val="single" w:sz="2" w:space="0" w:color="auto"/>
              <w:right w:val="single" w:sz="2" w:space="0" w:color="auto"/>
            </w:tcBorders>
          </w:tcPr>
          <w:p w:rsidR="00A1586D" w:rsidRPr="00A1586D" w:rsidRDefault="00A1586D" w:rsidP="00E175A3">
            <w:pPr>
              <w:contextualSpacing/>
              <w:rPr>
                <w:rFonts w:asciiTheme="majorHAnsi" w:hAnsiTheme="majorHAnsi" w:cstheme="majorHAnsi"/>
                <w:bCs/>
              </w:rPr>
            </w:pPr>
            <w:r w:rsidRPr="00A1586D">
              <w:rPr>
                <w:rFonts w:asciiTheme="majorHAnsi" w:hAnsiTheme="majorHAnsi" w:cstheme="majorHAnsi"/>
                <w:bCs/>
              </w:rPr>
              <w:t>In fiscal 2015, the FDA had a budget of $4.5 billion and 15,620 full-time equivalents. Reporting to the Commissioner are the following offices:</w:t>
            </w:r>
          </w:p>
          <w:p w:rsidR="00A1586D" w:rsidRPr="00A1586D" w:rsidRDefault="00A1586D" w:rsidP="00A1586D">
            <w:pPr>
              <w:numPr>
                <w:ilvl w:val="0"/>
                <w:numId w:val="40"/>
              </w:numPr>
              <w:spacing w:after="120"/>
              <w:ind w:left="432"/>
              <w:contextualSpacing/>
              <w:rPr>
                <w:rFonts w:asciiTheme="majorHAnsi" w:eastAsia="Calibri" w:hAnsiTheme="majorHAnsi" w:cstheme="majorHAnsi"/>
                <w:bCs/>
              </w:rPr>
            </w:pPr>
            <w:r w:rsidRPr="00A1586D">
              <w:rPr>
                <w:rFonts w:asciiTheme="majorHAnsi" w:eastAsia="Calibri" w:hAnsiTheme="majorHAnsi" w:cstheme="majorHAnsi"/>
                <w:bCs/>
              </w:rPr>
              <w:t>Office of the Chief Counsel</w:t>
            </w:r>
          </w:p>
          <w:p w:rsidR="00A1586D" w:rsidRPr="00A1586D" w:rsidRDefault="00A1586D" w:rsidP="00A1586D">
            <w:pPr>
              <w:numPr>
                <w:ilvl w:val="0"/>
                <w:numId w:val="40"/>
              </w:numPr>
              <w:spacing w:after="120"/>
              <w:ind w:left="432"/>
              <w:contextualSpacing/>
              <w:rPr>
                <w:rFonts w:asciiTheme="majorHAnsi" w:eastAsia="Calibri" w:hAnsiTheme="majorHAnsi" w:cstheme="majorHAnsi"/>
                <w:bCs/>
              </w:rPr>
            </w:pPr>
            <w:r w:rsidRPr="00A1586D">
              <w:rPr>
                <w:rFonts w:asciiTheme="majorHAnsi" w:eastAsia="Calibri" w:hAnsiTheme="majorHAnsi" w:cstheme="majorHAnsi"/>
                <w:bCs/>
              </w:rPr>
              <w:t>Office of the Executive Secretariat</w:t>
            </w:r>
          </w:p>
          <w:p w:rsidR="00A1586D" w:rsidRPr="00A1586D" w:rsidRDefault="00A1586D" w:rsidP="00A1586D">
            <w:pPr>
              <w:numPr>
                <w:ilvl w:val="0"/>
                <w:numId w:val="40"/>
              </w:numPr>
              <w:spacing w:after="120"/>
              <w:ind w:left="432"/>
              <w:contextualSpacing/>
              <w:rPr>
                <w:rFonts w:asciiTheme="majorHAnsi" w:eastAsia="Calibri" w:hAnsiTheme="majorHAnsi" w:cstheme="majorHAnsi"/>
                <w:bCs/>
              </w:rPr>
            </w:pPr>
            <w:r w:rsidRPr="00A1586D">
              <w:rPr>
                <w:rFonts w:asciiTheme="majorHAnsi" w:eastAsia="Calibri" w:hAnsiTheme="majorHAnsi" w:cstheme="majorHAnsi"/>
                <w:bCs/>
              </w:rPr>
              <w:t>Office of External Affairs</w:t>
            </w:r>
          </w:p>
          <w:p w:rsidR="00A1586D" w:rsidRPr="00A1586D" w:rsidRDefault="00A1586D" w:rsidP="00A1586D">
            <w:pPr>
              <w:numPr>
                <w:ilvl w:val="0"/>
                <w:numId w:val="40"/>
              </w:numPr>
              <w:spacing w:after="120"/>
              <w:ind w:left="432"/>
              <w:contextualSpacing/>
              <w:rPr>
                <w:rFonts w:asciiTheme="majorHAnsi" w:eastAsia="Calibri" w:hAnsiTheme="majorHAnsi" w:cstheme="majorHAnsi"/>
                <w:bCs/>
              </w:rPr>
            </w:pPr>
            <w:r w:rsidRPr="00A1586D">
              <w:rPr>
                <w:rFonts w:asciiTheme="majorHAnsi" w:eastAsia="Calibri" w:hAnsiTheme="majorHAnsi" w:cstheme="majorHAnsi"/>
                <w:bCs/>
              </w:rPr>
              <w:t>Office of Women’s Health</w:t>
            </w:r>
          </w:p>
          <w:p w:rsidR="00A1586D" w:rsidRPr="00A1586D" w:rsidRDefault="00A1586D" w:rsidP="00A1586D">
            <w:pPr>
              <w:numPr>
                <w:ilvl w:val="0"/>
                <w:numId w:val="40"/>
              </w:numPr>
              <w:spacing w:after="120"/>
              <w:ind w:left="432"/>
              <w:contextualSpacing/>
              <w:rPr>
                <w:rFonts w:asciiTheme="majorHAnsi" w:eastAsia="Calibri" w:hAnsiTheme="majorHAnsi" w:cstheme="majorHAnsi"/>
                <w:bCs/>
              </w:rPr>
            </w:pPr>
            <w:r w:rsidRPr="00A1586D">
              <w:rPr>
                <w:rFonts w:asciiTheme="majorHAnsi" w:eastAsia="Calibri" w:hAnsiTheme="majorHAnsi" w:cstheme="majorHAnsi"/>
                <w:bCs/>
              </w:rPr>
              <w:t>Office of Minority Health</w:t>
            </w:r>
          </w:p>
          <w:p w:rsidR="00A1586D" w:rsidRPr="00A1586D" w:rsidRDefault="00A1586D" w:rsidP="00A1586D">
            <w:pPr>
              <w:numPr>
                <w:ilvl w:val="0"/>
                <w:numId w:val="40"/>
              </w:numPr>
              <w:spacing w:after="120"/>
              <w:ind w:left="432"/>
              <w:contextualSpacing/>
              <w:rPr>
                <w:rFonts w:asciiTheme="majorHAnsi" w:eastAsia="Calibri" w:hAnsiTheme="majorHAnsi" w:cstheme="majorHAnsi"/>
                <w:bCs/>
              </w:rPr>
            </w:pPr>
            <w:r w:rsidRPr="00A1586D">
              <w:rPr>
                <w:rFonts w:asciiTheme="majorHAnsi" w:eastAsia="Calibri" w:hAnsiTheme="majorHAnsi" w:cstheme="majorHAnsi"/>
                <w:bCs/>
              </w:rPr>
              <w:t>Office of the Chief Scientist</w:t>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Primary Responsibilities</w:t>
            </w:r>
          </w:p>
        </w:tc>
        <w:tc>
          <w:tcPr>
            <w:tcW w:w="6798" w:type="dxa"/>
            <w:tcBorders>
              <w:top w:val="single" w:sz="2" w:space="0" w:color="auto"/>
              <w:left w:val="single" w:sz="2" w:space="0" w:color="auto"/>
              <w:bottom w:val="single" w:sz="2" w:space="0" w:color="auto"/>
              <w:right w:val="single" w:sz="2" w:space="0" w:color="auto"/>
            </w:tcBorders>
          </w:tcPr>
          <w:p w:rsidR="00A1586D" w:rsidRPr="00A1586D" w:rsidRDefault="00A1586D" w:rsidP="00A1586D">
            <w:pPr>
              <w:numPr>
                <w:ilvl w:val="0"/>
                <w:numId w:val="34"/>
              </w:numPr>
              <w:contextualSpacing/>
              <w:rPr>
                <w:rFonts w:asciiTheme="majorHAnsi" w:hAnsiTheme="majorHAnsi" w:cstheme="majorHAnsi"/>
              </w:rPr>
            </w:pPr>
            <w:r w:rsidRPr="00A1586D">
              <w:rPr>
                <w:rFonts w:asciiTheme="majorHAnsi" w:hAnsiTheme="majorHAnsi" w:cstheme="majorHAnsi"/>
              </w:rPr>
              <w:t>Protects the public health by assuring the safety, efficacy and security of human and veterinary drugs, biological products, medical devices, our nation’s food supply, cosmetics and products that emit radiation</w:t>
            </w:r>
          </w:p>
          <w:p w:rsidR="00A1586D" w:rsidRPr="00A1586D" w:rsidRDefault="00A1586D" w:rsidP="00A1586D">
            <w:pPr>
              <w:numPr>
                <w:ilvl w:val="0"/>
                <w:numId w:val="34"/>
              </w:numPr>
              <w:contextualSpacing/>
              <w:rPr>
                <w:rFonts w:asciiTheme="majorHAnsi" w:hAnsiTheme="majorHAnsi" w:cstheme="majorHAnsi"/>
              </w:rPr>
            </w:pPr>
            <w:r w:rsidRPr="00A1586D">
              <w:rPr>
                <w:rFonts w:asciiTheme="majorHAnsi" w:hAnsiTheme="majorHAnsi" w:cstheme="majorHAnsi"/>
              </w:rPr>
              <w:t>Advances the public health by helping to speed innovations that make medicines more effective, safer and more affordable, and by helping the public get the accurate, science-based information they need to use medicines and foods to maintain and improve their health</w:t>
            </w:r>
          </w:p>
          <w:p w:rsidR="00A1586D" w:rsidRPr="00A1586D" w:rsidRDefault="00A1586D" w:rsidP="00A1586D">
            <w:pPr>
              <w:numPr>
                <w:ilvl w:val="0"/>
                <w:numId w:val="34"/>
              </w:numPr>
              <w:contextualSpacing/>
              <w:rPr>
                <w:rFonts w:asciiTheme="majorHAnsi" w:hAnsiTheme="majorHAnsi" w:cstheme="majorHAnsi"/>
              </w:rPr>
            </w:pPr>
            <w:r w:rsidRPr="00A1586D">
              <w:rPr>
                <w:rFonts w:asciiTheme="majorHAnsi" w:hAnsiTheme="majorHAnsi" w:cstheme="majorHAnsi"/>
              </w:rPr>
              <w:t>Regulates the manufacturing, marketing and distribution of tobacco products to protect the public health and reduce tobacco use by minors</w:t>
            </w:r>
          </w:p>
          <w:p w:rsidR="00A1586D" w:rsidRPr="00A1586D" w:rsidRDefault="00A1586D" w:rsidP="00A1586D">
            <w:pPr>
              <w:numPr>
                <w:ilvl w:val="0"/>
                <w:numId w:val="34"/>
              </w:numPr>
              <w:contextualSpacing/>
              <w:rPr>
                <w:rFonts w:asciiTheme="majorHAnsi" w:hAnsiTheme="majorHAnsi" w:cstheme="majorHAnsi"/>
              </w:rPr>
            </w:pPr>
            <w:r w:rsidRPr="00A1586D">
              <w:rPr>
                <w:rFonts w:asciiTheme="majorHAnsi" w:hAnsiTheme="majorHAnsi" w:cstheme="majorHAnsi"/>
              </w:rPr>
              <w:t>Plays a significant role in the nation’s counterterrorism capability by ensuring the security of the food supply and by fostering development of medical products to respond to deliberate and naturally emerging public health threats.</w:t>
            </w:r>
          </w:p>
          <w:p w:rsidR="00A1586D" w:rsidRPr="00A1586D" w:rsidRDefault="00A1586D" w:rsidP="00A1586D">
            <w:pPr>
              <w:numPr>
                <w:ilvl w:val="0"/>
                <w:numId w:val="34"/>
              </w:numPr>
              <w:contextualSpacing/>
              <w:rPr>
                <w:rFonts w:asciiTheme="majorHAnsi" w:hAnsiTheme="majorHAnsi" w:cstheme="majorHAnsi"/>
              </w:rPr>
            </w:pPr>
            <w:r w:rsidRPr="00A1586D">
              <w:rPr>
                <w:rFonts w:asciiTheme="majorHAnsi" w:hAnsiTheme="majorHAnsi" w:cstheme="majorHAnsi"/>
              </w:rPr>
              <w:lastRenderedPageBreak/>
              <w:t>Serves as the principal advisor to the Secretary on all matters related to the safety, efficacy and security of human and veterinary drugs, biological products, medical devices, our nation’s food supply, cosmetics and products that emit radiation</w:t>
            </w:r>
          </w:p>
          <w:p w:rsidR="00A1586D" w:rsidRPr="00A1586D" w:rsidRDefault="00A1586D" w:rsidP="00A1586D">
            <w:pPr>
              <w:numPr>
                <w:ilvl w:val="0"/>
                <w:numId w:val="34"/>
              </w:numPr>
              <w:contextualSpacing/>
              <w:rPr>
                <w:rFonts w:asciiTheme="majorHAnsi" w:hAnsiTheme="majorHAnsi" w:cstheme="majorHAnsi"/>
              </w:rPr>
            </w:pPr>
            <w:r w:rsidRPr="00A1586D">
              <w:rPr>
                <w:rFonts w:asciiTheme="majorHAnsi" w:hAnsiTheme="majorHAnsi" w:cstheme="majorHAnsi"/>
              </w:rPr>
              <w:t>Supervises the work of the Office of Chief Counsel, Office of the Executive Secretariat, Office of Chief Scientist, Office of External Affairs, Office of Minority Health and Office of Women’s Health.</w:t>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lastRenderedPageBreak/>
              <w:t>Strategic Goals and Priorities</w:t>
            </w:r>
          </w:p>
        </w:tc>
        <w:tc>
          <w:tcPr>
            <w:tcW w:w="6798" w:type="dxa"/>
            <w:tcBorders>
              <w:top w:val="single" w:sz="2" w:space="0" w:color="auto"/>
              <w:left w:val="single" w:sz="2" w:space="0" w:color="auto"/>
              <w:bottom w:val="single" w:sz="2" w:space="0" w:color="auto"/>
              <w:right w:val="single" w:sz="2" w:space="0" w:color="auto"/>
            </w:tcBorders>
            <w:vAlign w:val="center"/>
          </w:tcPr>
          <w:p w:rsidR="00A1586D" w:rsidRPr="00A1586D" w:rsidRDefault="00A1586D" w:rsidP="00E175A3">
            <w:pPr>
              <w:ind w:left="72"/>
              <w:contextualSpacing/>
              <w:jc w:val="center"/>
              <w:rPr>
                <w:rFonts w:asciiTheme="majorHAnsi" w:hAnsiTheme="majorHAnsi" w:cstheme="majorHAnsi"/>
              </w:rPr>
            </w:pPr>
          </w:p>
          <w:p w:rsidR="00A1586D" w:rsidRPr="00A1586D" w:rsidRDefault="00A1586D" w:rsidP="00E175A3">
            <w:pPr>
              <w:ind w:left="72"/>
              <w:contextualSpacing/>
              <w:jc w:val="center"/>
              <w:rPr>
                <w:rFonts w:asciiTheme="majorHAnsi" w:hAnsiTheme="majorHAnsi" w:cstheme="majorHAnsi"/>
              </w:rPr>
            </w:pPr>
          </w:p>
          <w:p w:rsidR="00A1586D" w:rsidRPr="00A1586D" w:rsidRDefault="00A1586D" w:rsidP="00E175A3">
            <w:pPr>
              <w:ind w:left="72"/>
              <w:contextualSpacing/>
              <w:jc w:val="center"/>
              <w:rPr>
                <w:rFonts w:asciiTheme="majorHAnsi" w:hAnsiTheme="majorHAnsi" w:cstheme="majorHAnsi"/>
              </w:rPr>
            </w:pPr>
            <w:r w:rsidRPr="00A1586D">
              <w:rPr>
                <w:rFonts w:asciiTheme="majorHAnsi" w:hAnsiTheme="majorHAnsi" w:cstheme="majorHAnsi"/>
              </w:rPr>
              <w:t xml:space="preserve">[Depends on the policy priorities of the administration] </w:t>
            </w:r>
          </w:p>
          <w:p w:rsidR="00A1586D" w:rsidRPr="00A1586D" w:rsidRDefault="00A1586D" w:rsidP="00E175A3">
            <w:pPr>
              <w:ind w:left="72"/>
              <w:contextualSpacing/>
              <w:jc w:val="center"/>
              <w:rPr>
                <w:rFonts w:asciiTheme="majorHAnsi" w:hAnsiTheme="majorHAnsi" w:cstheme="majorHAnsi"/>
              </w:rPr>
            </w:pPr>
          </w:p>
          <w:p w:rsidR="00A1586D" w:rsidRPr="00A1586D" w:rsidRDefault="00A1586D" w:rsidP="00E175A3">
            <w:pPr>
              <w:contextualSpacing/>
              <w:rPr>
                <w:rFonts w:asciiTheme="majorHAnsi" w:hAnsiTheme="majorHAnsi" w:cstheme="majorHAnsi"/>
              </w:rPr>
            </w:pPr>
          </w:p>
        </w:tc>
      </w:tr>
      <w:tr w:rsidR="00A1586D" w:rsidRPr="00A1586D"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A1586D" w:rsidRPr="00A1586D" w:rsidRDefault="00A1586D" w:rsidP="00E175A3">
            <w:pPr>
              <w:contextualSpacing/>
              <w:jc w:val="center"/>
              <w:rPr>
                <w:rFonts w:asciiTheme="majorHAnsi" w:hAnsiTheme="majorHAnsi" w:cstheme="majorHAnsi"/>
                <w:b/>
              </w:rPr>
            </w:pPr>
            <w:r w:rsidRPr="00A1586D">
              <w:rPr>
                <w:rFonts w:asciiTheme="majorHAnsi" w:hAnsiTheme="majorHAnsi" w:cstheme="majorHAnsi"/>
                <w:b/>
              </w:rPr>
              <w:t>REQUIREMENTS AND COMPETENCIES</w:t>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Requirements</w:t>
            </w:r>
          </w:p>
        </w:tc>
        <w:tc>
          <w:tcPr>
            <w:tcW w:w="6798" w:type="dxa"/>
            <w:tcBorders>
              <w:top w:val="single" w:sz="2" w:space="0" w:color="auto"/>
              <w:left w:val="single" w:sz="2" w:space="0" w:color="auto"/>
              <w:bottom w:val="single" w:sz="2" w:space="0" w:color="auto"/>
              <w:right w:val="single" w:sz="2" w:space="0" w:color="auto"/>
            </w:tcBorders>
          </w:tcPr>
          <w:p w:rsidR="00A1586D" w:rsidRPr="00A1586D" w:rsidRDefault="00A1586D" w:rsidP="00A1586D">
            <w:pPr>
              <w:numPr>
                <w:ilvl w:val="0"/>
                <w:numId w:val="31"/>
              </w:numPr>
              <w:contextualSpacing/>
              <w:rPr>
                <w:rFonts w:asciiTheme="majorHAnsi" w:hAnsiTheme="majorHAnsi" w:cstheme="majorHAnsi"/>
              </w:rPr>
            </w:pPr>
            <w:r w:rsidRPr="00A1586D">
              <w:rPr>
                <w:rFonts w:asciiTheme="majorHAnsi" w:hAnsiTheme="majorHAnsi" w:cstheme="majorHAnsi"/>
              </w:rPr>
              <w:t>A physician, traditionally, and should be a respected member of the scientific community</w:t>
            </w:r>
          </w:p>
          <w:p w:rsidR="00A1586D" w:rsidRPr="00A1586D" w:rsidRDefault="00A1586D" w:rsidP="00A1586D">
            <w:pPr>
              <w:numPr>
                <w:ilvl w:val="0"/>
                <w:numId w:val="31"/>
              </w:numPr>
              <w:contextualSpacing/>
              <w:rPr>
                <w:rFonts w:asciiTheme="majorHAnsi" w:hAnsiTheme="majorHAnsi" w:cstheme="majorHAnsi"/>
              </w:rPr>
            </w:pPr>
            <w:r w:rsidRPr="00A1586D">
              <w:rPr>
                <w:rFonts w:asciiTheme="majorHAnsi" w:hAnsiTheme="majorHAnsi" w:cstheme="majorHAnsi"/>
              </w:rPr>
              <w:t>Experience in managing complex scientific agencies/organizations</w:t>
            </w:r>
          </w:p>
          <w:p w:rsidR="00A1586D" w:rsidRPr="00A1586D" w:rsidRDefault="00A1586D" w:rsidP="00A1586D">
            <w:pPr>
              <w:numPr>
                <w:ilvl w:val="0"/>
                <w:numId w:val="31"/>
              </w:numPr>
              <w:contextualSpacing/>
              <w:rPr>
                <w:rFonts w:asciiTheme="majorHAnsi" w:hAnsiTheme="majorHAnsi" w:cstheme="majorHAnsi"/>
              </w:rPr>
            </w:pPr>
            <w:r w:rsidRPr="00A1586D">
              <w:rPr>
                <w:rFonts w:asciiTheme="majorHAnsi" w:hAnsiTheme="majorHAnsi" w:cstheme="majorHAnsi"/>
              </w:rPr>
              <w:t>Experience in regulatory/regulated environments</w:t>
            </w:r>
          </w:p>
          <w:p w:rsidR="00A1586D" w:rsidRPr="00A1586D" w:rsidRDefault="00A1586D" w:rsidP="00A1586D">
            <w:pPr>
              <w:numPr>
                <w:ilvl w:val="0"/>
                <w:numId w:val="31"/>
              </w:numPr>
              <w:contextualSpacing/>
              <w:rPr>
                <w:rFonts w:asciiTheme="majorHAnsi" w:hAnsiTheme="majorHAnsi" w:cstheme="majorHAnsi"/>
              </w:rPr>
            </w:pPr>
            <w:r w:rsidRPr="00A1586D">
              <w:rPr>
                <w:rFonts w:asciiTheme="majorHAnsi" w:hAnsiTheme="majorHAnsi" w:cstheme="majorHAnsi"/>
              </w:rPr>
              <w:t>Experience in leading through unexpected crisis situations</w:t>
            </w:r>
          </w:p>
        </w:tc>
      </w:tr>
      <w:tr w:rsidR="00A1586D" w:rsidRPr="00A1586D" w:rsidTr="00E175A3">
        <w:tc>
          <w:tcPr>
            <w:tcW w:w="2664"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Competencies</w:t>
            </w:r>
          </w:p>
        </w:tc>
        <w:tc>
          <w:tcPr>
            <w:tcW w:w="6798" w:type="dxa"/>
            <w:tcBorders>
              <w:top w:val="single" w:sz="2" w:space="0" w:color="auto"/>
              <w:left w:val="single" w:sz="2" w:space="0" w:color="auto"/>
              <w:bottom w:val="single" w:sz="2" w:space="0" w:color="auto"/>
              <w:right w:val="single" w:sz="2" w:space="0" w:color="auto"/>
            </w:tcBorders>
          </w:tcPr>
          <w:p w:rsidR="00A1586D" w:rsidRPr="00A1586D" w:rsidRDefault="00A1586D" w:rsidP="00A1586D">
            <w:pPr>
              <w:numPr>
                <w:ilvl w:val="0"/>
                <w:numId w:val="32"/>
              </w:numPr>
              <w:contextualSpacing/>
              <w:rPr>
                <w:rFonts w:asciiTheme="majorHAnsi" w:eastAsia="Calibri" w:hAnsiTheme="majorHAnsi" w:cstheme="majorHAnsi"/>
                <w:bCs/>
              </w:rPr>
            </w:pPr>
            <w:r w:rsidRPr="00A1586D">
              <w:rPr>
                <w:rFonts w:asciiTheme="majorHAnsi" w:eastAsia="Calibri" w:hAnsiTheme="majorHAnsi" w:cstheme="majorHAnsi"/>
                <w:bCs/>
              </w:rPr>
              <w:t>Demonstrated ability to successfully lead a complex organization with multiple areas of focus</w:t>
            </w:r>
          </w:p>
          <w:p w:rsidR="00A1586D" w:rsidRPr="00A1586D" w:rsidRDefault="00A1586D" w:rsidP="00A1586D">
            <w:pPr>
              <w:numPr>
                <w:ilvl w:val="0"/>
                <w:numId w:val="32"/>
              </w:numPr>
              <w:contextualSpacing/>
              <w:rPr>
                <w:rFonts w:asciiTheme="majorHAnsi" w:eastAsia="Calibri" w:hAnsiTheme="majorHAnsi" w:cstheme="majorHAnsi"/>
                <w:bCs/>
              </w:rPr>
            </w:pPr>
            <w:r w:rsidRPr="00A1586D">
              <w:rPr>
                <w:rFonts w:asciiTheme="majorHAnsi" w:eastAsia="Calibri" w:hAnsiTheme="majorHAnsi" w:cstheme="majorHAnsi"/>
                <w:bCs/>
              </w:rPr>
              <w:t>Strategic leader with a track record of developing strategic goals and leading others to successfully execute against a plan</w:t>
            </w:r>
          </w:p>
          <w:p w:rsidR="00A1586D" w:rsidRPr="00A1586D" w:rsidRDefault="00A1586D" w:rsidP="00A1586D">
            <w:pPr>
              <w:numPr>
                <w:ilvl w:val="0"/>
                <w:numId w:val="32"/>
              </w:numPr>
              <w:contextualSpacing/>
              <w:rPr>
                <w:rFonts w:asciiTheme="majorHAnsi" w:eastAsia="Calibri" w:hAnsiTheme="majorHAnsi" w:cstheme="majorHAnsi"/>
                <w:bCs/>
              </w:rPr>
            </w:pPr>
            <w:r w:rsidRPr="00A1586D">
              <w:rPr>
                <w:rFonts w:asciiTheme="majorHAnsi" w:eastAsia="Calibri" w:hAnsiTheme="majorHAnsi" w:cstheme="majorHAnsi"/>
                <w:bCs/>
              </w:rPr>
              <w:t>Ability to establish positive relationships with co-workers and external stakeholders</w:t>
            </w:r>
          </w:p>
          <w:p w:rsidR="00A1586D" w:rsidRPr="00A1586D" w:rsidRDefault="00A1586D" w:rsidP="00A1586D">
            <w:pPr>
              <w:numPr>
                <w:ilvl w:val="0"/>
                <w:numId w:val="32"/>
              </w:numPr>
              <w:contextualSpacing/>
              <w:rPr>
                <w:rFonts w:asciiTheme="majorHAnsi" w:eastAsia="Calibri" w:hAnsiTheme="majorHAnsi" w:cstheme="majorHAnsi"/>
                <w:bCs/>
              </w:rPr>
            </w:pPr>
            <w:r w:rsidRPr="00A1586D">
              <w:rPr>
                <w:rFonts w:asciiTheme="majorHAnsi" w:eastAsia="Calibri" w:hAnsiTheme="majorHAnsi" w:cstheme="majorHAnsi"/>
                <w:bCs/>
              </w:rPr>
              <w:t>Ability to forge strong congressional relationships (preferred)</w:t>
            </w:r>
          </w:p>
        </w:tc>
      </w:tr>
      <w:tr w:rsidR="00A1586D" w:rsidRPr="00A1586D"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A1586D" w:rsidRPr="00A1586D" w:rsidRDefault="00A1586D" w:rsidP="00E175A3">
            <w:pPr>
              <w:contextualSpacing/>
              <w:jc w:val="center"/>
              <w:rPr>
                <w:rFonts w:asciiTheme="majorHAnsi" w:hAnsiTheme="majorHAnsi" w:cstheme="majorHAnsi"/>
                <w:b/>
              </w:rPr>
            </w:pPr>
            <w:r w:rsidRPr="00A1586D">
              <w:rPr>
                <w:rFonts w:asciiTheme="majorHAnsi" w:hAnsiTheme="majorHAnsi" w:cstheme="majorHAnsi"/>
                <w:b/>
              </w:rPr>
              <w:t xml:space="preserve">PAST APPOINTEES </w:t>
            </w:r>
          </w:p>
        </w:tc>
      </w:tr>
      <w:tr w:rsidR="00A1586D" w:rsidRPr="00A1586D" w:rsidTr="00E175A3">
        <w:tc>
          <w:tcPr>
            <w:tcW w:w="9462" w:type="dxa"/>
            <w:gridSpan w:val="2"/>
            <w:tcBorders>
              <w:top w:val="single" w:sz="2" w:space="0" w:color="auto"/>
              <w:left w:val="single" w:sz="2" w:space="0" w:color="auto"/>
              <w:bottom w:val="single" w:sz="2" w:space="0" w:color="auto"/>
              <w:right w:val="single" w:sz="2" w:space="0" w:color="auto"/>
            </w:tcBorders>
          </w:tcPr>
          <w:p w:rsidR="00A1586D" w:rsidRPr="00A1586D" w:rsidRDefault="00A1586D" w:rsidP="00957C18">
            <w:pPr>
              <w:contextualSpacing/>
              <w:rPr>
                <w:rFonts w:asciiTheme="majorHAnsi" w:hAnsiTheme="majorHAnsi" w:cstheme="majorHAnsi"/>
              </w:rPr>
            </w:pPr>
            <w:r w:rsidRPr="00A1586D">
              <w:rPr>
                <w:rFonts w:asciiTheme="majorHAnsi" w:hAnsiTheme="majorHAnsi" w:cstheme="majorHAnsi"/>
              </w:rPr>
              <w:t xml:space="preserve">Robert </w:t>
            </w:r>
            <w:proofErr w:type="spellStart"/>
            <w:r w:rsidRPr="00A1586D">
              <w:rPr>
                <w:rFonts w:asciiTheme="majorHAnsi" w:hAnsiTheme="majorHAnsi" w:cstheme="majorHAnsi"/>
              </w:rPr>
              <w:t>Califf</w:t>
            </w:r>
            <w:proofErr w:type="spellEnd"/>
            <w:r w:rsidRPr="00A1586D">
              <w:rPr>
                <w:rFonts w:asciiTheme="majorHAnsi" w:hAnsiTheme="majorHAnsi" w:cstheme="majorHAnsi"/>
              </w:rPr>
              <w:t>, MD, (2016-</w:t>
            </w:r>
            <w:r w:rsidR="00957C18">
              <w:rPr>
                <w:rFonts w:asciiTheme="majorHAnsi" w:hAnsiTheme="majorHAnsi" w:cstheme="majorHAnsi"/>
              </w:rPr>
              <w:t>2017</w:t>
            </w:r>
            <w:r w:rsidRPr="00A1586D">
              <w:rPr>
                <w:rFonts w:asciiTheme="majorHAnsi" w:hAnsiTheme="majorHAnsi" w:cstheme="majorHAnsi"/>
              </w:rPr>
              <w:t>), Deputy Commissioner for Medical Products and Tobacco, FDA; Professor of Medicine and Vice Chancellor for Clinical and Translational Research, Duke University.</w:t>
            </w:r>
          </w:p>
        </w:tc>
      </w:tr>
      <w:tr w:rsidR="00A1586D" w:rsidRPr="00A1586D" w:rsidTr="00E175A3">
        <w:tc>
          <w:tcPr>
            <w:tcW w:w="9462" w:type="dxa"/>
            <w:gridSpan w:val="2"/>
            <w:tcBorders>
              <w:top w:val="single" w:sz="2" w:space="0" w:color="auto"/>
              <w:left w:val="single" w:sz="2" w:space="0" w:color="auto"/>
              <w:bottom w:val="single" w:sz="2" w:space="0" w:color="auto"/>
              <w:right w:val="single" w:sz="2" w:space="0" w:color="auto"/>
            </w:tcBorders>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 xml:space="preserve">Margaret A. “Peggy” Hamburg, MD, (2009-2015), Vice President for Biological Programs and Senior Scientist, Nuclear Threat Initiative; Assistant Secretary for Planning and Evaluation, Department of Health and Human Services; Commissioner, New York City Department of Health and Mental Hygiene. </w:t>
            </w:r>
          </w:p>
        </w:tc>
      </w:tr>
      <w:tr w:rsidR="00A1586D" w:rsidRPr="00A1586D" w:rsidTr="00E175A3">
        <w:tc>
          <w:tcPr>
            <w:tcW w:w="9462" w:type="dxa"/>
            <w:gridSpan w:val="2"/>
            <w:tcBorders>
              <w:top w:val="single" w:sz="2" w:space="0" w:color="auto"/>
              <w:left w:val="single" w:sz="2" w:space="0" w:color="auto"/>
              <w:bottom w:val="single" w:sz="2" w:space="0" w:color="auto"/>
              <w:right w:val="single" w:sz="2" w:space="0" w:color="auto"/>
            </w:tcBorders>
          </w:tcPr>
          <w:p w:rsidR="00A1586D" w:rsidRPr="00A1586D" w:rsidRDefault="00A1586D" w:rsidP="00E175A3">
            <w:pPr>
              <w:contextualSpacing/>
              <w:rPr>
                <w:rFonts w:asciiTheme="majorHAnsi" w:hAnsiTheme="majorHAnsi" w:cstheme="majorHAnsi"/>
              </w:rPr>
            </w:pPr>
            <w:r w:rsidRPr="00A1586D">
              <w:rPr>
                <w:rFonts w:asciiTheme="majorHAnsi" w:hAnsiTheme="majorHAnsi" w:cstheme="majorHAnsi"/>
              </w:rPr>
              <w:t>Andrew C. “Andy” von Eschenbach, MD (2006-2009), Director, National Cancer Institute; Founding Director of the Prostate Cancer Research Program, Director of Genitourinary Cancer Center and Roy M. and Phyllis Gough Huffington Clinical Research Distinguished Chair in Urologic Oncology at the University of Texas M.D. Anderson Cancer Center.</w:t>
            </w:r>
          </w:p>
        </w:tc>
      </w:tr>
    </w:tbl>
    <w:p w:rsidR="00514128" w:rsidRPr="00A1586D" w:rsidRDefault="00514128" w:rsidP="00A1586D"/>
    <w:sectPr w:rsidR="00514128" w:rsidRPr="00A1586D"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0D" w:rsidRDefault="00842C0D" w:rsidP="001E22F1">
      <w:r>
        <w:separator/>
      </w:r>
    </w:p>
  </w:endnote>
  <w:endnote w:type="continuationSeparator" w:id="0">
    <w:p w:rsidR="00842C0D" w:rsidRDefault="00842C0D" w:rsidP="001E22F1">
      <w:r>
        <w:continuationSeparator/>
      </w:r>
    </w:p>
  </w:endnote>
  <w:endnote w:id="1">
    <w:p w:rsidR="00A1586D" w:rsidRDefault="00A1586D">
      <w:pPr>
        <w:pStyle w:val="EndnoteText"/>
      </w:pPr>
      <w:r>
        <w:rPr>
          <w:rStyle w:val="EndnoteReference"/>
        </w:rPr>
        <w:endnoteRef/>
      </w:r>
      <w:r>
        <w:t xml:space="preserve"> </w:t>
      </w:r>
      <w:r w:rsidR="006B6BD2">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0D" w:rsidRDefault="00842C0D" w:rsidP="001E22F1">
      <w:r>
        <w:separator/>
      </w:r>
    </w:p>
  </w:footnote>
  <w:footnote w:type="continuationSeparator" w:id="0">
    <w:p w:rsidR="00842C0D" w:rsidRDefault="00842C0D"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6B6BD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9809ED"/>
    <w:multiLevelType w:val="hybridMultilevel"/>
    <w:tmpl w:val="CEA6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36622C"/>
    <w:multiLevelType w:val="hybridMultilevel"/>
    <w:tmpl w:val="1EEE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6833"/>
    <w:multiLevelType w:val="hybridMultilevel"/>
    <w:tmpl w:val="66122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5B546B"/>
    <w:multiLevelType w:val="hybridMultilevel"/>
    <w:tmpl w:val="9C1C5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F564E5"/>
    <w:multiLevelType w:val="hybridMultilevel"/>
    <w:tmpl w:val="21DC6C2C"/>
    <w:lvl w:ilvl="0" w:tplc="457CFD6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1"/>
  </w:num>
  <w:num w:numId="4">
    <w:abstractNumId w:val="39"/>
  </w:num>
  <w:num w:numId="5">
    <w:abstractNumId w:val="5"/>
  </w:num>
  <w:num w:numId="6">
    <w:abstractNumId w:val="35"/>
  </w:num>
  <w:num w:numId="7">
    <w:abstractNumId w:val="4"/>
  </w:num>
  <w:num w:numId="8">
    <w:abstractNumId w:val="31"/>
  </w:num>
  <w:num w:numId="9">
    <w:abstractNumId w:val="16"/>
  </w:num>
  <w:num w:numId="10">
    <w:abstractNumId w:val="6"/>
  </w:num>
  <w:num w:numId="11">
    <w:abstractNumId w:val="14"/>
  </w:num>
  <w:num w:numId="12">
    <w:abstractNumId w:val="25"/>
  </w:num>
  <w:num w:numId="13">
    <w:abstractNumId w:val="23"/>
  </w:num>
  <w:num w:numId="14">
    <w:abstractNumId w:val="26"/>
  </w:num>
  <w:num w:numId="15">
    <w:abstractNumId w:val="28"/>
  </w:num>
  <w:num w:numId="16">
    <w:abstractNumId w:val="1"/>
  </w:num>
  <w:num w:numId="17">
    <w:abstractNumId w:val="20"/>
  </w:num>
  <w:num w:numId="18">
    <w:abstractNumId w:val="34"/>
  </w:num>
  <w:num w:numId="19">
    <w:abstractNumId w:val="8"/>
  </w:num>
  <w:num w:numId="20">
    <w:abstractNumId w:val="27"/>
  </w:num>
  <w:num w:numId="21">
    <w:abstractNumId w:val="32"/>
  </w:num>
  <w:num w:numId="22">
    <w:abstractNumId w:val="10"/>
  </w:num>
  <w:num w:numId="23">
    <w:abstractNumId w:val="7"/>
  </w:num>
  <w:num w:numId="24">
    <w:abstractNumId w:val="33"/>
  </w:num>
  <w:num w:numId="25">
    <w:abstractNumId w:val="12"/>
  </w:num>
  <w:num w:numId="26">
    <w:abstractNumId w:val="2"/>
  </w:num>
  <w:num w:numId="27">
    <w:abstractNumId w:val="21"/>
  </w:num>
  <w:num w:numId="28">
    <w:abstractNumId w:val="18"/>
  </w:num>
  <w:num w:numId="29">
    <w:abstractNumId w:val="22"/>
  </w:num>
  <w:num w:numId="30">
    <w:abstractNumId w:val="30"/>
  </w:num>
  <w:num w:numId="31">
    <w:abstractNumId w:val="37"/>
  </w:num>
  <w:num w:numId="32">
    <w:abstractNumId w:val="38"/>
  </w:num>
  <w:num w:numId="33">
    <w:abstractNumId w:val="9"/>
  </w:num>
  <w:num w:numId="34">
    <w:abstractNumId w:val="0"/>
  </w:num>
  <w:num w:numId="35">
    <w:abstractNumId w:val="29"/>
  </w:num>
  <w:num w:numId="36">
    <w:abstractNumId w:val="24"/>
  </w:num>
  <w:num w:numId="37">
    <w:abstractNumId w:val="13"/>
  </w:num>
  <w:num w:numId="38">
    <w:abstractNumId w:val="19"/>
  </w:num>
  <w:num w:numId="39">
    <w:abstractNumId w:val="1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41867"/>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D46FF"/>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3AC4"/>
    <w:rsid w:val="002B44C0"/>
    <w:rsid w:val="002B59FC"/>
    <w:rsid w:val="002C76AB"/>
    <w:rsid w:val="002C7A86"/>
    <w:rsid w:val="002D28DF"/>
    <w:rsid w:val="002E0713"/>
    <w:rsid w:val="002F204D"/>
    <w:rsid w:val="002F2F32"/>
    <w:rsid w:val="0030193E"/>
    <w:rsid w:val="00305AF7"/>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B1EE8"/>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797"/>
    <w:rsid w:val="005B0C70"/>
    <w:rsid w:val="005B44AE"/>
    <w:rsid w:val="005D4099"/>
    <w:rsid w:val="005D5806"/>
    <w:rsid w:val="005E6E2F"/>
    <w:rsid w:val="005F2771"/>
    <w:rsid w:val="006013AB"/>
    <w:rsid w:val="00602B9F"/>
    <w:rsid w:val="00603EFC"/>
    <w:rsid w:val="00622F39"/>
    <w:rsid w:val="0063039C"/>
    <w:rsid w:val="0063053B"/>
    <w:rsid w:val="00635D16"/>
    <w:rsid w:val="00637430"/>
    <w:rsid w:val="00650906"/>
    <w:rsid w:val="006519D4"/>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B6BD2"/>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62481"/>
    <w:rsid w:val="0076444F"/>
    <w:rsid w:val="007872BC"/>
    <w:rsid w:val="007A377A"/>
    <w:rsid w:val="007B1D32"/>
    <w:rsid w:val="007B6E3E"/>
    <w:rsid w:val="007D1AFF"/>
    <w:rsid w:val="007D609D"/>
    <w:rsid w:val="007D669F"/>
    <w:rsid w:val="007E1950"/>
    <w:rsid w:val="007F0E84"/>
    <w:rsid w:val="007F17B1"/>
    <w:rsid w:val="007F321F"/>
    <w:rsid w:val="007F338A"/>
    <w:rsid w:val="007F5A8E"/>
    <w:rsid w:val="007F6387"/>
    <w:rsid w:val="00806C5D"/>
    <w:rsid w:val="00810F68"/>
    <w:rsid w:val="00820463"/>
    <w:rsid w:val="00821486"/>
    <w:rsid w:val="008271A8"/>
    <w:rsid w:val="00833527"/>
    <w:rsid w:val="00836810"/>
    <w:rsid w:val="00842C0D"/>
    <w:rsid w:val="00843FE7"/>
    <w:rsid w:val="00845BCF"/>
    <w:rsid w:val="0085653B"/>
    <w:rsid w:val="00860EC5"/>
    <w:rsid w:val="00867383"/>
    <w:rsid w:val="008744A6"/>
    <w:rsid w:val="0087689B"/>
    <w:rsid w:val="008807E6"/>
    <w:rsid w:val="00883BC8"/>
    <w:rsid w:val="0089745E"/>
    <w:rsid w:val="00897ABC"/>
    <w:rsid w:val="008A05DD"/>
    <w:rsid w:val="008A7731"/>
    <w:rsid w:val="008B4CA7"/>
    <w:rsid w:val="008B6E2E"/>
    <w:rsid w:val="008B7489"/>
    <w:rsid w:val="008C5194"/>
    <w:rsid w:val="008D30E6"/>
    <w:rsid w:val="008D3564"/>
    <w:rsid w:val="008F0B0A"/>
    <w:rsid w:val="00901824"/>
    <w:rsid w:val="009069C2"/>
    <w:rsid w:val="009140FD"/>
    <w:rsid w:val="009241DC"/>
    <w:rsid w:val="00932702"/>
    <w:rsid w:val="0094517E"/>
    <w:rsid w:val="00957C18"/>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D77AB"/>
    <w:rsid w:val="009E46C4"/>
    <w:rsid w:val="009E586C"/>
    <w:rsid w:val="009F59E4"/>
    <w:rsid w:val="00A07E43"/>
    <w:rsid w:val="00A11046"/>
    <w:rsid w:val="00A15619"/>
    <w:rsid w:val="00A1586D"/>
    <w:rsid w:val="00A16DAE"/>
    <w:rsid w:val="00A20D92"/>
    <w:rsid w:val="00A21FED"/>
    <w:rsid w:val="00A33BE1"/>
    <w:rsid w:val="00A37BD6"/>
    <w:rsid w:val="00A46A0C"/>
    <w:rsid w:val="00A47C49"/>
    <w:rsid w:val="00A54EF3"/>
    <w:rsid w:val="00A653B2"/>
    <w:rsid w:val="00A869D4"/>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A6BFC"/>
    <w:rsid w:val="00BC1493"/>
    <w:rsid w:val="00BC78FF"/>
    <w:rsid w:val="00BD0F2B"/>
    <w:rsid w:val="00BD29EF"/>
    <w:rsid w:val="00BD4300"/>
    <w:rsid w:val="00BE28D8"/>
    <w:rsid w:val="00BE379B"/>
    <w:rsid w:val="00BE6BD7"/>
    <w:rsid w:val="00BF2BCE"/>
    <w:rsid w:val="00C00762"/>
    <w:rsid w:val="00C05B41"/>
    <w:rsid w:val="00C068DB"/>
    <w:rsid w:val="00C07FF8"/>
    <w:rsid w:val="00C14F52"/>
    <w:rsid w:val="00C153DF"/>
    <w:rsid w:val="00C30408"/>
    <w:rsid w:val="00C335FE"/>
    <w:rsid w:val="00C3365A"/>
    <w:rsid w:val="00C36CC2"/>
    <w:rsid w:val="00C41B96"/>
    <w:rsid w:val="00C44A8F"/>
    <w:rsid w:val="00C46EEC"/>
    <w:rsid w:val="00C5538B"/>
    <w:rsid w:val="00C624A4"/>
    <w:rsid w:val="00C71212"/>
    <w:rsid w:val="00C82C06"/>
    <w:rsid w:val="00C866F7"/>
    <w:rsid w:val="00C87AFC"/>
    <w:rsid w:val="00C90AD7"/>
    <w:rsid w:val="00C93614"/>
    <w:rsid w:val="00C94E0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4438D"/>
    <w:rsid w:val="00D51191"/>
    <w:rsid w:val="00D56177"/>
    <w:rsid w:val="00D60729"/>
    <w:rsid w:val="00D66F40"/>
    <w:rsid w:val="00D7198E"/>
    <w:rsid w:val="00D744FA"/>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3EA2"/>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F11FF"/>
    <w:rsid w:val="00EF6FAB"/>
    <w:rsid w:val="00F1221F"/>
    <w:rsid w:val="00F24186"/>
    <w:rsid w:val="00F24A4E"/>
    <w:rsid w:val="00F25BCA"/>
    <w:rsid w:val="00F316F1"/>
    <w:rsid w:val="00F35985"/>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F673283-8483-407F-8A00-097D19B6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917C80"/>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C702A8-BE4C-45F7-B8CB-A6B1B0B3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4082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8</cp:revision>
  <cp:lastPrinted>2016-07-12T18:00:00Z</cp:lastPrinted>
  <dcterms:created xsi:type="dcterms:W3CDTF">2016-11-02T15:25:00Z</dcterms:created>
  <dcterms:modified xsi:type="dcterms:W3CDTF">2017-08-22T19:24:00Z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