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670C3E">
      <w:pPr>
        <w:pStyle w:val="Heading1"/>
        <w:pBdr>
          <w:bottom w:val="none" w:sz="0" w:space="0" w:color="auto"/>
        </w:pBdr>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4D2D8E" w:rsidRPr="007D6F18" w:rsidRDefault="004D2D8E" w:rsidP="004D2D8E">
      <w:pPr>
        <w:keepNext/>
        <w:keepLines/>
        <w:pBdr>
          <w:bottom w:val="single" w:sz="4" w:space="0"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00"/>
      <w:r w:rsidRPr="007D6F18">
        <w:rPr>
          <w:rFonts w:ascii="Arial" w:eastAsiaTheme="majorEastAsia" w:hAnsi="Arial" w:cstheme="majorBidi"/>
          <w:b/>
          <w:bCs/>
          <w:caps/>
          <w:sz w:val="26"/>
          <w:szCs w:val="24"/>
        </w:rPr>
        <w:t>Deputy Secretary, Department of Health and human Services</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7"/>
        <w:gridCol w:w="6838"/>
        <w:gridCol w:w="7"/>
      </w:tblGrid>
      <w:tr w:rsidR="004D2D8E" w:rsidRPr="00670C3E" w:rsidTr="00670C3E">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4D2D8E" w:rsidRPr="00670C3E" w:rsidRDefault="004D2D8E" w:rsidP="00721828">
            <w:pPr>
              <w:contextualSpacing/>
              <w:jc w:val="center"/>
              <w:rPr>
                <w:rFonts w:asciiTheme="majorHAnsi" w:hAnsiTheme="majorHAnsi" w:cstheme="majorHAnsi"/>
                <w:b/>
              </w:rPr>
            </w:pPr>
            <w:r w:rsidRPr="00670C3E">
              <w:rPr>
                <w:rFonts w:asciiTheme="majorHAnsi" w:hAnsiTheme="majorHAnsi" w:cstheme="majorHAnsi"/>
                <w:b/>
              </w:rPr>
              <w:t>OVERVIEW</w:t>
            </w:r>
          </w:p>
        </w:tc>
      </w:tr>
      <w:tr w:rsidR="004D2D8E" w:rsidRPr="00670C3E" w:rsidTr="00670C3E">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2D8E" w:rsidRPr="00670C3E" w:rsidRDefault="004D2D8E" w:rsidP="00721828">
            <w:pPr>
              <w:contextualSpacing/>
              <w:rPr>
                <w:rFonts w:asciiTheme="majorHAnsi" w:hAnsiTheme="majorHAnsi" w:cstheme="majorHAnsi"/>
              </w:rPr>
            </w:pPr>
            <w:r w:rsidRPr="00670C3E">
              <w:rPr>
                <w:rFonts w:asciiTheme="majorHAnsi" w:hAnsiTheme="majorHAnsi" w:cstheme="majorHAnsi"/>
              </w:rPr>
              <w:t>Senate Committee</w:t>
            </w:r>
          </w:p>
        </w:tc>
        <w:tc>
          <w:tcPr>
            <w:tcW w:w="6844" w:type="dxa"/>
            <w:gridSpan w:val="2"/>
            <w:tcBorders>
              <w:top w:val="single" w:sz="2" w:space="0" w:color="auto"/>
              <w:left w:val="single" w:sz="2" w:space="0" w:color="auto"/>
              <w:bottom w:val="single" w:sz="2" w:space="0" w:color="auto"/>
              <w:right w:val="single" w:sz="2" w:space="0" w:color="auto"/>
            </w:tcBorders>
          </w:tcPr>
          <w:p w:rsidR="004D2D8E" w:rsidRPr="00670C3E" w:rsidRDefault="004D2D8E" w:rsidP="00721828">
            <w:pPr>
              <w:contextualSpacing/>
              <w:rPr>
                <w:rFonts w:asciiTheme="majorHAnsi" w:hAnsiTheme="majorHAnsi" w:cstheme="majorHAnsi"/>
                <w:noProof/>
              </w:rPr>
            </w:pPr>
            <w:r w:rsidRPr="00670C3E">
              <w:rPr>
                <w:rFonts w:asciiTheme="majorHAnsi" w:hAnsiTheme="majorHAnsi" w:cstheme="majorHAnsi"/>
                <w:noProof/>
              </w:rPr>
              <w:t>Finance</w:t>
            </w:r>
          </w:p>
        </w:tc>
      </w:tr>
      <w:tr w:rsidR="004D2D8E" w:rsidRPr="00670C3E" w:rsidTr="00670C3E">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2D8E" w:rsidRPr="00670C3E" w:rsidRDefault="004D2D8E" w:rsidP="00721828">
            <w:pPr>
              <w:contextualSpacing/>
              <w:rPr>
                <w:rFonts w:asciiTheme="majorHAnsi" w:hAnsiTheme="majorHAnsi" w:cstheme="majorHAnsi"/>
              </w:rPr>
            </w:pPr>
            <w:r w:rsidRPr="00670C3E">
              <w:rPr>
                <w:rFonts w:asciiTheme="majorHAnsi" w:hAnsiTheme="majorHAnsi" w:cstheme="majorHAnsi"/>
              </w:rPr>
              <w:t>Agency Mission</w:t>
            </w:r>
          </w:p>
        </w:tc>
        <w:tc>
          <w:tcPr>
            <w:tcW w:w="6844" w:type="dxa"/>
            <w:gridSpan w:val="2"/>
            <w:tcBorders>
              <w:top w:val="single" w:sz="2" w:space="0" w:color="auto"/>
              <w:left w:val="single" w:sz="2" w:space="0" w:color="auto"/>
              <w:bottom w:val="single" w:sz="2" w:space="0" w:color="auto"/>
              <w:right w:val="single" w:sz="2" w:space="0" w:color="auto"/>
            </w:tcBorders>
          </w:tcPr>
          <w:p w:rsidR="004D2D8E" w:rsidRPr="00670C3E" w:rsidRDefault="004D2D8E" w:rsidP="00721828">
            <w:pPr>
              <w:contextualSpacing/>
              <w:rPr>
                <w:rFonts w:asciiTheme="majorHAnsi" w:hAnsiTheme="majorHAnsi" w:cstheme="majorHAnsi"/>
              </w:rPr>
            </w:pPr>
            <w:r w:rsidRPr="00670C3E">
              <w:rPr>
                <w:rFonts w:asciiTheme="majorHAnsi" w:hAnsiTheme="majorHAnsi" w:cstheme="majorHAnsi"/>
              </w:rPr>
              <w:t>To enhance and protect the health and well-being of all Americans by providing effective health and human services and fostering advances in medicine, public health and social services.</w:t>
            </w:r>
          </w:p>
        </w:tc>
      </w:tr>
      <w:tr w:rsidR="004D2D8E" w:rsidRPr="00670C3E" w:rsidTr="00670C3E">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2D8E" w:rsidRPr="00670C3E" w:rsidRDefault="004D2D8E" w:rsidP="00721828">
            <w:pPr>
              <w:contextualSpacing/>
              <w:rPr>
                <w:rFonts w:asciiTheme="majorHAnsi" w:hAnsiTheme="majorHAnsi" w:cstheme="majorHAnsi"/>
              </w:rPr>
            </w:pPr>
            <w:r w:rsidRPr="00670C3E">
              <w:rPr>
                <w:rFonts w:asciiTheme="majorHAnsi" w:hAnsiTheme="majorHAnsi" w:cstheme="majorHAnsi"/>
              </w:rPr>
              <w:t>Position Overview</w:t>
            </w:r>
          </w:p>
        </w:tc>
        <w:tc>
          <w:tcPr>
            <w:tcW w:w="6844" w:type="dxa"/>
            <w:gridSpan w:val="2"/>
            <w:tcBorders>
              <w:top w:val="single" w:sz="2" w:space="0" w:color="auto"/>
              <w:left w:val="single" w:sz="2" w:space="0" w:color="auto"/>
              <w:bottom w:val="single" w:sz="2" w:space="0" w:color="auto"/>
              <w:right w:val="single" w:sz="2" w:space="0" w:color="auto"/>
            </w:tcBorders>
          </w:tcPr>
          <w:p w:rsidR="004D2D8E" w:rsidRPr="00670C3E" w:rsidRDefault="004D2D8E" w:rsidP="00721828">
            <w:pPr>
              <w:contextualSpacing/>
              <w:rPr>
                <w:rFonts w:asciiTheme="majorHAnsi" w:hAnsiTheme="majorHAnsi" w:cstheme="majorHAnsi"/>
                <w:bCs/>
              </w:rPr>
            </w:pPr>
            <w:r w:rsidRPr="00670C3E">
              <w:rPr>
                <w:rFonts w:asciiTheme="majorHAnsi" w:hAnsiTheme="majorHAnsi" w:cstheme="majorHAnsi"/>
                <w:bCs/>
              </w:rPr>
              <w:t>The Deputy Secretary is the second-ranking official at HHS and a key advisor to the Secretary. The Deputy Secretary shall serve as the acting Secretary in the event of a vacancy in that office (</w:t>
            </w:r>
            <w:hyperlink r:id="rId11" w:history="1">
              <w:r w:rsidRPr="00670C3E">
                <w:rPr>
                  <w:rFonts w:asciiTheme="majorHAnsi" w:eastAsia="Calibri" w:hAnsiTheme="majorHAnsi" w:cstheme="majorHAnsi"/>
                </w:rPr>
                <w:t>42 U.S.C. §3501 note</w:t>
              </w:r>
            </w:hyperlink>
            <w:r w:rsidRPr="00670C3E">
              <w:rPr>
                <w:rFonts w:asciiTheme="majorHAnsi" w:eastAsia="Calibri" w:hAnsiTheme="majorHAnsi" w:cstheme="majorHAnsi"/>
              </w:rPr>
              <w:t>).</w:t>
            </w:r>
          </w:p>
          <w:p w:rsidR="004D2D8E" w:rsidRPr="00670C3E" w:rsidRDefault="004D2D8E" w:rsidP="00721828">
            <w:pPr>
              <w:contextualSpacing/>
              <w:rPr>
                <w:rFonts w:asciiTheme="majorHAnsi" w:hAnsiTheme="majorHAnsi" w:cstheme="majorHAnsi"/>
                <w:bCs/>
              </w:rPr>
            </w:pPr>
          </w:p>
          <w:p w:rsidR="004D2D8E" w:rsidRPr="00670C3E" w:rsidRDefault="004D2D8E" w:rsidP="00721828">
            <w:pPr>
              <w:contextualSpacing/>
              <w:rPr>
                <w:rFonts w:asciiTheme="majorHAnsi" w:hAnsiTheme="majorHAnsi" w:cstheme="majorHAnsi"/>
              </w:rPr>
            </w:pPr>
            <w:r w:rsidRPr="00670C3E">
              <w:rPr>
                <w:rFonts w:asciiTheme="majorHAnsi" w:hAnsiTheme="majorHAnsi" w:cstheme="majorHAnsi"/>
                <w:bCs/>
              </w:rPr>
              <w:t>As per the Government Performance and Results (GPRA) Act Modernization Act of 2010, the Deputy Secretary is also the chief operating officer of HHS (</w:t>
            </w:r>
            <w:hyperlink r:id="rId12" w:history="1">
              <w:r w:rsidRPr="00670C3E">
                <w:rPr>
                  <w:rFonts w:asciiTheme="majorHAnsi" w:eastAsia="Calibri" w:hAnsiTheme="majorHAnsi" w:cstheme="majorHAnsi"/>
                </w:rPr>
                <w:t>31 U.S.C. §1123</w:t>
              </w:r>
            </w:hyperlink>
            <w:r w:rsidRPr="00670C3E">
              <w:rPr>
                <w:rFonts w:asciiTheme="majorHAnsi" w:eastAsia="Calibri" w:hAnsiTheme="majorHAnsi" w:cstheme="majorHAnsi"/>
              </w:rPr>
              <w:t>).</w:t>
            </w:r>
            <w:r w:rsidRPr="00670C3E">
              <w:rPr>
                <w:rFonts w:asciiTheme="majorHAnsi" w:hAnsiTheme="majorHAnsi" w:cstheme="majorHAnsi"/>
                <w:bCs/>
              </w:rPr>
              <w:t xml:space="preserve"> In this capacity, the deputy secretary is responsible for the operations of the largest civilian department in the federal government; programs related to </w:t>
            </w:r>
            <w:r w:rsidRPr="00670C3E">
              <w:rPr>
                <w:rFonts w:asciiTheme="majorHAnsi" w:hAnsiTheme="majorHAnsi" w:cstheme="majorHAnsi"/>
                <w:bCs/>
                <w:lang w:val="en"/>
              </w:rPr>
              <w:t>public health, medical research, food and drug safety; human service programs, child and family services, disease prevention, Indian health and mental health services; and</w:t>
            </w:r>
            <w:r w:rsidRPr="00670C3E">
              <w:rPr>
                <w:rFonts w:asciiTheme="majorHAnsi" w:hAnsiTheme="majorHAnsi" w:cstheme="majorHAnsi"/>
                <w:bCs/>
              </w:rPr>
              <w:t xml:space="preserve"> </w:t>
            </w:r>
            <w:r w:rsidRPr="00670C3E">
              <w:rPr>
                <w:rFonts w:asciiTheme="majorHAnsi" w:hAnsiTheme="majorHAnsi" w:cstheme="majorHAnsi"/>
                <w:bCs/>
                <w:lang w:val="en"/>
              </w:rPr>
              <w:t xml:space="preserve">Medicare and Medicaid. </w:t>
            </w:r>
          </w:p>
        </w:tc>
      </w:tr>
      <w:tr w:rsidR="004D2D8E" w:rsidRPr="00670C3E" w:rsidTr="00670C3E">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2D8E" w:rsidRPr="00670C3E" w:rsidRDefault="004D2D8E" w:rsidP="00721828">
            <w:pPr>
              <w:contextualSpacing/>
              <w:rPr>
                <w:rFonts w:asciiTheme="majorHAnsi" w:hAnsiTheme="majorHAnsi" w:cstheme="majorHAnsi"/>
              </w:rPr>
            </w:pPr>
            <w:r w:rsidRPr="00670C3E">
              <w:rPr>
                <w:rFonts w:asciiTheme="majorHAnsi" w:hAnsiTheme="majorHAnsi" w:cstheme="majorHAnsi"/>
              </w:rPr>
              <w:t>Compensation</w:t>
            </w:r>
          </w:p>
        </w:tc>
        <w:tc>
          <w:tcPr>
            <w:tcW w:w="6844" w:type="dxa"/>
            <w:gridSpan w:val="2"/>
            <w:tcBorders>
              <w:top w:val="single" w:sz="2" w:space="0" w:color="auto"/>
              <w:left w:val="single" w:sz="2" w:space="0" w:color="auto"/>
              <w:bottom w:val="single" w:sz="2" w:space="0" w:color="auto"/>
              <w:right w:val="single" w:sz="2" w:space="0" w:color="auto"/>
            </w:tcBorders>
          </w:tcPr>
          <w:p w:rsidR="004D2D8E" w:rsidRPr="00670C3E" w:rsidRDefault="00124AD2" w:rsidP="005C5068">
            <w:pPr>
              <w:contextualSpacing/>
              <w:rPr>
                <w:rFonts w:asciiTheme="majorHAnsi" w:hAnsiTheme="majorHAnsi" w:cstheme="majorHAnsi"/>
                <w:bCs/>
              </w:rPr>
            </w:pPr>
            <w:r w:rsidRPr="00670C3E">
              <w:rPr>
                <w:rFonts w:asciiTheme="majorHAnsi" w:hAnsiTheme="majorHAnsi" w:cstheme="majorHAnsi"/>
              </w:rPr>
              <w:t>Level II $</w:t>
            </w:r>
            <w:r w:rsidR="005C5068">
              <w:rPr>
                <w:rFonts w:asciiTheme="majorHAnsi" w:hAnsiTheme="majorHAnsi" w:cstheme="majorHAnsi"/>
              </w:rPr>
              <w:t xml:space="preserve">179,700 </w:t>
            </w:r>
            <w:r w:rsidR="004D2D8E" w:rsidRPr="00670C3E">
              <w:rPr>
                <w:rFonts w:asciiTheme="majorHAnsi" w:hAnsiTheme="majorHAnsi" w:cstheme="majorHAnsi"/>
              </w:rPr>
              <w:t>(5 U.S.C. § 5313)</w:t>
            </w:r>
            <w:r w:rsidR="00670C3E" w:rsidRPr="00670C3E">
              <w:rPr>
                <w:rStyle w:val="EndnoteReference"/>
                <w:rFonts w:asciiTheme="majorHAnsi" w:hAnsiTheme="majorHAnsi" w:cstheme="majorHAnsi"/>
              </w:rPr>
              <w:endnoteReference w:id="1"/>
            </w:r>
          </w:p>
        </w:tc>
      </w:tr>
      <w:tr w:rsidR="004D2D8E" w:rsidRPr="00670C3E" w:rsidTr="00670C3E">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2D8E" w:rsidRPr="00670C3E" w:rsidRDefault="004D2D8E" w:rsidP="00721828">
            <w:pPr>
              <w:contextualSpacing/>
              <w:rPr>
                <w:rFonts w:asciiTheme="majorHAnsi" w:hAnsiTheme="majorHAnsi" w:cstheme="majorHAnsi"/>
              </w:rPr>
            </w:pPr>
            <w:r w:rsidRPr="00670C3E">
              <w:rPr>
                <w:rFonts w:asciiTheme="majorHAnsi" w:hAnsiTheme="majorHAnsi" w:cstheme="majorHAnsi"/>
              </w:rPr>
              <w:t>Position Reports to</w:t>
            </w:r>
          </w:p>
        </w:tc>
        <w:tc>
          <w:tcPr>
            <w:tcW w:w="6844" w:type="dxa"/>
            <w:gridSpan w:val="2"/>
            <w:tcBorders>
              <w:top w:val="single" w:sz="2" w:space="0" w:color="auto"/>
              <w:left w:val="single" w:sz="2" w:space="0" w:color="auto"/>
              <w:bottom w:val="single" w:sz="2" w:space="0" w:color="auto"/>
              <w:right w:val="single" w:sz="2" w:space="0" w:color="auto"/>
            </w:tcBorders>
          </w:tcPr>
          <w:p w:rsidR="004D2D8E" w:rsidRPr="00670C3E" w:rsidRDefault="004D2D8E" w:rsidP="00721828">
            <w:pPr>
              <w:contextualSpacing/>
              <w:rPr>
                <w:rFonts w:asciiTheme="majorHAnsi" w:hAnsiTheme="majorHAnsi" w:cstheme="majorHAnsi"/>
              </w:rPr>
            </w:pPr>
            <w:r w:rsidRPr="00670C3E">
              <w:rPr>
                <w:rFonts w:asciiTheme="majorHAnsi" w:hAnsiTheme="majorHAnsi" w:cstheme="majorHAnsi"/>
              </w:rPr>
              <w:t>Secretary of Health and Human Services</w:t>
            </w:r>
          </w:p>
        </w:tc>
      </w:tr>
      <w:tr w:rsidR="004D2D8E" w:rsidRPr="00670C3E" w:rsidTr="00670C3E">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4D2D8E" w:rsidRPr="00670C3E" w:rsidRDefault="004D2D8E" w:rsidP="00721828">
            <w:pPr>
              <w:contextualSpacing/>
              <w:jc w:val="center"/>
              <w:rPr>
                <w:rFonts w:asciiTheme="majorHAnsi" w:hAnsiTheme="majorHAnsi" w:cstheme="majorHAnsi"/>
                <w:b/>
              </w:rPr>
            </w:pPr>
            <w:r w:rsidRPr="00670C3E">
              <w:rPr>
                <w:rFonts w:asciiTheme="majorHAnsi" w:hAnsiTheme="majorHAnsi" w:cstheme="majorHAnsi"/>
                <w:b/>
              </w:rPr>
              <w:t>RESPONSIBILITIES</w:t>
            </w:r>
          </w:p>
        </w:tc>
      </w:tr>
      <w:tr w:rsidR="004D2D8E" w:rsidRPr="00670C3E" w:rsidTr="00670C3E">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2D8E" w:rsidRPr="00670C3E" w:rsidRDefault="004D2D8E" w:rsidP="00721828">
            <w:pPr>
              <w:contextualSpacing/>
              <w:rPr>
                <w:rFonts w:asciiTheme="majorHAnsi" w:hAnsiTheme="majorHAnsi" w:cstheme="majorHAnsi"/>
              </w:rPr>
            </w:pPr>
            <w:r w:rsidRPr="00670C3E">
              <w:rPr>
                <w:rFonts w:asciiTheme="majorHAnsi" w:hAnsiTheme="majorHAnsi" w:cstheme="majorHAnsi"/>
              </w:rPr>
              <w:t>Management Scope</w:t>
            </w:r>
          </w:p>
        </w:tc>
        <w:tc>
          <w:tcPr>
            <w:tcW w:w="6844" w:type="dxa"/>
            <w:gridSpan w:val="2"/>
            <w:tcBorders>
              <w:top w:val="single" w:sz="2" w:space="0" w:color="auto"/>
              <w:left w:val="single" w:sz="2" w:space="0" w:color="auto"/>
              <w:bottom w:val="single" w:sz="2" w:space="0" w:color="auto"/>
              <w:right w:val="single" w:sz="2" w:space="0" w:color="auto"/>
            </w:tcBorders>
          </w:tcPr>
          <w:p w:rsidR="004D2D8E" w:rsidRPr="00670C3E" w:rsidRDefault="00670C3E" w:rsidP="00721828">
            <w:pPr>
              <w:rPr>
                <w:rFonts w:asciiTheme="majorHAnsi" w:hAnsiTheme="majorHAnsi" w:cstheme="majorHAnsi"/>
              </w:rPr>
            </w:pPr>
            <w:r w:rsidRPr="00670C3E">
              <w:rPr>
                <w:rFonts w:asciiTheme="majorHAnsi" w:hAnsiTheme="majorHAnsi" w:cstheme="majorHAnsi"/>
              </w:rPr>
              <w:t xml:space="preserve">In fiscal 2015, HHS had $1,028 billion in outlays and 63,324 total employment. </w:t>
            </w:r>
            <w:r w:rsidR="004D2D8E" w:rsidRPr="00670C3E">
              <w:rPr>
                <w:rFonts w:asciiTheme="majorHAnsi" w:hAnsiTheme="majorHAnsi" w:cstheme="majorHAnsi"/>
                <w:bCs/>
              </w:rPr>
              <w:t>The Deputy Secretary has a small personal staff and is assisted by a principal associate deputy secretary, two associate deputy secretaries and three staff assistants to complete these duties. However, as chief operating officer, the Deputy Secretary will manage people from all over the organization, not just those in his or her direct office, and has access to support from several assistant secretaries.</w:t>
            </w:r>
          </w:p>
        </w:tc>
      </w:tr>
      <w:tr w:rsidR="004D2D8E" w:rsidRPr="00670C3E" w:rsidTr="00670C3E">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2D8E" w:rsidRPr="00670C3E" w:rsidRDefault="004D2D8E" w:rsidP="00721828">
            <w:pPr>
              <w:contextualSpacing/>
              <w:rPr>
                <w:rFonts w:asciiTheme="majorHAnsi" w:hAnsiTheme="majorHAnsi" w:cstheme="majorHAnsi"/>
              </w:rPr>
            </w:pPr>
            <w:r w:rsidRPr="00670C3E">
              <w:rPr>
                <w:rFonts w:asciiTheme="majorHAnsi" w:hAnsiTheme="majorHAnsi" w:cstheme="majorHAnsi"/>
              </w:rPr>
              <w:t>Primary Responsibilities</w:t>
            </w:r>
          </w:p>
        </w:tc>
        <w:tc>
          <w:tcPr>
            <w:tcW w:w="6844" w:type="dxa"/>
            <w:gridSpan w:val="2"/>
            <w:tcBorders>
              <w:top w:val="single" w:sz="2" w:space="0" w:color="auto"/>
              <w:left w:val="single" w:sz="2" w:space="0" w:color="auto"/>
              <w:bottom w:val="single" w:sz="2" w:space="0" w:color="auto"/>
              <w:right w:val="single" w:sz="2" w:space="0" w:color="auto"/>
            </w:tcBorders>
          </w:tcPr>
          <w:p w:rsidR="004D2D8E" w:rsidRPr="00670C3E" w:rsidRDefault="004D2D8E" w:rsidP="004D2D8E">
            <w:pPr>
              <w:numPr>
                <w:ilvl w:val="0"/>
                <w:numId w:val="34"/>
              </w:numPr>
              <w:contextualSpacing/>
              <w:rPr>
                <w:rFonts w:asciiTheme="majorHAnsi" w:eastAsia="Calibri" w:hAnsiTheme="majorHAnsi" w:cstheme="majorHAnsi"/>
              </w:rPr>
            </w:pPr>
            <w:r w:rsidRPr="00670C3E">
              <w:rPr>
                <w:rFonts w:asciiTheme="majorHAnsi" w:eastAsia="Calibri" w:hAnsiTheme="majorHAnsi" w:cstheme="majorHAnsi"/>
              </w:rPr>
              <w:t>Executes the President’s and Secretary’s strategic plan for the agency by dealing with the overall operations, managing the individual departments and integrating mission-support functions with program and policy objectives</w:t>
            </w:r>
          </w:p>
          <w:p w:rsidR="004D2D8E" w:rsidRPr="00670C3E" w:rsidRDefault="004D2D8E" w:rsidP="004D2D8E">
            <w:pPr>
              <w:numPr>
                <w:ilvl w:val="0"/>
                <w:numId w:val="34"/>
              </w:numPr>
              <w:contextualSpacing/>
              <w:rPr>
                <w:rFonts w:asciiTheme="majorHAnsi" w:eastAsia="Calibri" w:hAnsiTheme="majorHAnsi" w:cstheme="majorHAnsi"/>
              </w:rPr>
            </w:pPr>
            <w:r w:rsidRPr="00670C3E">
              <w:rPr>
                <w:rFonts w:asciiTheme="majorHAnsi" w:eastAsia="Calibri" w:hAnsiTheme="majorHAnsi" w:cstheme="majorHAnsi"/>
              </w:rPr>
              <w:t>Works with peers in other agencies, the Office of Management and Budget, stakeholders (like local or state governments) and, at times, Congress</w:t>
            </w:r>
          </w:p>
          <w:p w:rsidR="004D2D8E" w:rsidRPr="00670C3E" w:rsidRDefault="004D2D8E" w:rsidP="004D2D8E">
            <w:pPr>
              <w:numPr>
                <w:ilvl w:val="0"/>
                <w:numId w:val="34"/>
              </w:numPr>
              <w:contextualSpacing/>
              <w:rPr>
                <w:rFonts w:asciiTheme="majorHAnsi" w:eastAsia="Calibri" w:hAnsiTheme="majorHAnsi" w:cstheme="majorHAnsi"/>
              </w:rPr>
            </w:pPr>
            <w:r w:rsidRPr="00670C3E">
              <w:rPr>
                <w:rFonts w:asciiTheme="majorHAnsi" w:eastAsia="Calibri" w:hAnsiTheme="majorHAnsi" w:cstheme="majorHAnsi"/>
              </w:rPr>
              <w:t>Resolves interagency and intradepartmental conflict</w:t>
            </w:r>
          </w:p>
          <w:p w:rsidR="004D2D8E" w:rsidRPr="00670C3E" w:rsidRDefault="004D2D8E" w:rsidP="004D2D8E">
            <w:pPr>
              <w:numPr>
                <w:ilvl w:val="0"/>
                <w:numId w:val="34"/>
              </w:numPr>
              <w:contextualSpacing/>
              <w:rPr>
                <w:rFonts w:asciiTheme="majorHAnsi" w:eastAsia="Calibri" w:hAnsiTheme="majorHAnsi" w:cstheme="majorHAnsi"/>
              </w:rPr>
            </w:pPr>
            <w:r w:rsidRPr="00670C3E">
              <w:rPr>
                <w:rFonts w:asciiTheme="majorHAnsi" w:eastAsia="Calibri" w:hAnsiTheme="majorHAnsi" w:cstheme="majorHAnsi"/>
              </w:rPr>
              <w:t>Serves as a key advisor to the secretary on all matters pertaining to the agency</w:t>
            </w:r>
          </w:p>
          <w:p w:rsidR="004D2D8E" w:rsidRPr="00670C3E" w:rsidRDefault="004D2D8E" w:rsidP="004D2D8E">
            <w:pPr>
              <w:numPr>
                <w:ilvl w:val="0"/>
                <w:numId w:val="34"/>
              </w:numPr>
              <w:contextualSpacing/>
              <w:rPr>
                <w:rFonts w:asciiTheme="majorHAnsi" w:eastAsia="Calibri" w:hAnsiTheme="majorHAnsi" w:cstheme="majorHAnsi"/>
              </w:rPr>
            </w:pPr>
            <w:r w:rsidRPr="00670C3E">
              <w:rPr>
                <w:rFonts w:asciiTheme="majorHAnsi" w:eastAsia="Calibri" w:hAnsiTheme="majorHAnsi" w:cstheme="majorHAnsi"/>
              </w:rPr>
              <w:lastRenderedPageBreak/>
              <w:t>Ensures that the agency’s components are delivering their programs and services with integrity, and in an effective and efficient manner</w:t>
            </w:r>
          </w:p>
          <w:p w:rsidR="004D2D8E" w:rsidRPr="00670C3E" w:rsidRDefault="004D2D8E" w:rsidP="004D2D8E">
            <w:pPr>
              <w:numPr>
                <w:ilvl w:val="0"/>
                <w:numId w:val="34"/>
              </w:numPr>
              <w:contextualSpacing/>
              <w:rPr>
                <w:rFonts w:asciiTheme="majorHAnsi" w:eastAsia="Calibri" w:hAnsiTheme="majorHAnsi" w:cstheme="majorHAnsi"/>
              </w:rPr>
            </w:pPr>
            <w:r w:rsidRPr="00670C3E">
              <w:rPr>
                <w:rFonts w:asciiTheme="majorHAnsi" w:eastAsia="Calibri" w:hAnsiTheme="majorHAnsi" w:cstheme="majorHAnsi"/>
              </w:rPr>
              <w:t>Develops and manages complementary internal management processes that coordinate across programs</w:t>
            </w:r>
          </w:p>
          <w:p w:rsidR="004D2D8E" w:rsidRPr="00670C3E" w:rsidRDefault="004D2D8E" w:rsidP="004D2D8E">
            <w:pPr>
              <w:numPr>
                <w:ilvl w:val="0"/>
                <w:numId w:val="34"/>
              </w:numPr>
              <w:contextualSpacing/>
              <w:rPr>
                <w:rFonts w:asciiTheme="majorHAnsi" w:eastAsia="Calibri" w:hAnsiTheme="majorHAnsi" w:cstheme="majorHAnsi"/>
              </w:rPr>
            </w:pPr>
            <w:r w:rsidRPr="00670C3E">
              <w:rPr>
                <w:rFonts w:asciiTheme="majorHAnsi" w:eastAsia="Calibri" w:hAnsiTheme="majorHAnsi" w:cstheme="majorHAnsi"/>
              </w:rPr>
              <w:t>Represents the secretary in public and private meetings including dealings with the White House, Congress, state governments and trade groups</w:t>
            </w:r>
          </w:p>
          <w:p w:rsidR="004D2D8E" w:rsidRPr="00670C3E" w:rsidRDefault="004D2D8E" w:rsidP="004D2D8E">
            <w:pPr>
              <w:numPr>
                <w:ilvl w:val="0"/>
                <w:numId w:val="34"/>
              </w:numPr>
              <w:contextualSpacing/>
              <w:rPr>
                <w:rFonts w:asciiTheme="majorHAnsi" w:hAnsiTheme="majorHAnsi" w:cstheme="majorHAnsi"/>
              </w:rPr>
            </w:pPr>
            <w:r w:rsidRPr="00670C3E">
              <w:rPr>
                <w:rFonts w:asciiTheme="majorHAnsi" w:hAnsiTheme="majorHAnsi" w:cstheme="majorHAnsi"/>
              </w:rPr>
              <w:t>Oversees internal GPRA processes.</w:t>
            </w:r>
          </w:p>
          <w:p w:rsidR="004D2D8E" w:rsidRPr="00670C3E" w:rsidRDefault="004D2D8E" w:rsidP="004D2D8E">
            <w:pPr>
              <w:numPr>
                <w:ilvl w:val="0"/>
                <w:numId w:val="34"/>
              </w:numPr>
              <w:contextualSpacing/>
              <w:rPr>
                <w:rFonts w:asciiTheme="majorHAnsi" w:eastAsia="Calibri" w:hAnsiTheme="majorHAnsi" w:cstheme="majorHAnsi"/>
              </w:rPr>
            </w:pPr>
            <w:r w:rsidRPr="00670C3E">
              <w:rPr>
                <w:rFonts w:asciiTheme="majorHAnsi" w:eastAsia="Calibri" w:hAnsiTheme="majorHAnsi" w:cstheme="majorHAnsi"/>
              </w:rPr>
              <w:t>Works closely with the Secretary, Chief of Staff and CXOs.</w:t>
            </w:r>
          </w:p>
          <w:p w:rsidR="004D2D8E" w:rsidRPr="00670C3E" w:rsidRDefault="004D2D8E" w:rsidP="004D2D8E">
            <w:pPr>
              <w:numPr>
                <w:ilvl w:val="0"/>
                <w:numId w:val="34"/>
              </w:numPr>
              <w:contextualSpacing/>
              <w:rPr>
                <w:rFonts w:asciiTheme="majorHAnsi" w:eastAsia="Calibri" w:hAnsiTheme="majorHAnsi" w:cstheme="majorHAnsi"/>
              </w:rPr>
            </w:pPr>
            <w:r w:rsidRPr="00670C3E">
              <w:rPr>
                <w:rFonts w:asciiTheme="majorHAnsi" w:eastAsia="Calibri" w:hAnsiTheme="majorHAnsi" w:cstheme="majorHAnsi"/>
              </w:rPr>
              <w:t>Maintains involvement in the development and approval of HHS regulations</w:t>
            </w:r>
          </w:p>
        </w:tc>
      </w:tr>
      <w:tr w:rsidR="004D2D8E" w:rsidRPr="00670C3E" w:rsidTr="00670C3E">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2D8E" w:rsidRPr="00670C3E" w:rsidRDefault="004D2D8E" w:rsidP="00721828">
            <w:pPr>
              <w:contextualSpacing/>
              <w:rPr>
                <w:rFonts w:asciiTheme="majorHAnsi" w:hAnsiTheme="majorHAnsi" w:cstheme="majorHAnsi"/>
              </w:rPr>
            </w:pPr>
            <w:r w:rsidRPr="00670C3E">
              <w:rPr>
                <w:rFonts w:asciiTheme="majorHAnsi" w:hAnsiTheme="majorHAnsi" w:cstheme="majorHAnsi"/>
              </w:rPr>
              <w:lastRenderedPageBreak/>
              <w:t>Strategic Goals and Priorities</w:t>
            </w:r>
          </w:p>
        </w:tc>
        <w:tc>
          <w:tcPr>
            <w:tcW w:w="6844" w:type="dxa"/>
            <w:gridSpan w:val="2"/>
            <w:tcBorders>
              <w:top w:val="single" w:sz="2" w:space="0" w:color="auto"/>
              <w:left w:val="single" w:sz="2" w:space="0" w:color="auto"/>
              <w:bottom w:val="single" w:sz="2" w:space="0" w:color="auto"/>
              <w:right w:val="single" w:sz="2" w:space="0" w:color="auto"/>
            </w:tcBorders>
            <w:vAlign w:val="center"/>
          </w:tcPr>
          <w:p w:rsidR="004D2D8E" w:rsidRPr="00670C3E" w:rsidRDefault="004D2D8E" w:rsidP="00721828">
            <w:pPr>
              <w:ind w:left="72"/>
              <w:contextualSpacing/>
              <w:jc w:val="center"/>
              <w:rPr>
                <w:rFonts w:asciiTheme="majorHAnsi" w:hAnsiTheme="majorHAnsi" w:cstheme="majorHAnsi"/>
              </w:rPr>
            </w:pPr>
          </w:p>
          <w:p w:rsidR="004D2D8E" w:rsidRPr="00670C3E" w:rsidRDefault="004D2D8E" w:rsidP="00721828">
            <w:pPr>
              <w:ind w:left="72"/>
              <w:contextualSpacing/>
              <w:jc w:val="center"/>
              <w:rPr>
                <w:rFonts w:asciiTheme="majorHAnsi" w:hAnsiTheme="majorHAnsi" w:cstheme="majorHAnsi"/>
              </w:rPr>
            </w:pPr>
          </w:p>
          <w:p w:rsidR="004D2D8E" w:rsidRPr="00670C3E" w:rsidRDefault="004D2D8E" w:rsidP="00721828">
            <w:pPr>
              <w:ind w:left="72"/>
              <w:contextualSpacing/>
              <w:jc w:val="center"/>
              <w:rPr>
                <w:rFonts w:asciiTheme="majorHAnsi" w:hAnsiTheme="majorHAnsi" w:cstheme="majorHAnsi"/>
              </w:rPr>
            </w:pPr>
            <w:r w:rsidRPr="00670C3E">
              <w:rPr>
                <w:rFonts w:asciiTheme="majorHAnsi" w:hAnsiTheme="majorHAnsi" w:cstheme="majorHAnsi"/>
              </w:rPr>
              <w:t xml:space="preserve">[Depends on the policy priorities of the administration] </w:t>
            </w:r>
          </w:p>
          <w:p w:rsidR="004D2D8E" w:rsidRPr="00670C3E" w:rsidRDefault="004D2D8E" w:rsidP="00721828">
            <w:pPr>
              <w:ind w:left="72"/>
              <w:contextualSpacing/>
              <w:jc w:val="center"/>
              <w:rPr>
                <w:rFonts w:asciiTheme="majorHAnsi" w:hAnsiTheme="majorHAnsi" w:cstheme="majorHAnsi"/>
              </w:rPr>
            </w:pPr>
          </w:p>
          <w:p w:rsidR="004D2D8E" w:rsidRPr="00670C3E" w:rsidRDefault="004D2D8E" w:rsidP="00721828">
            <w:pPr>
              <w:ind w:left="72"/>
              <w:contextualSpacing/>
              <w:jc w:val="center"/>
              <w:rPr>
                <w:rFonts w:asciiTheme="majorHAnsi" w:hAnsiTheme="majorHAnsi" w:cstheme="majorHAnsi"/>
              </w:rPr>
            </w:pPr>
          </w:p>
        </w:tc>
      </w:tr>
      <w:tr w:rsidR="004D2D8E" w:rsidRPr="00670C3E" w:rsidTr="00670C3E">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4D2D8E" w:rsidRPr="00670C3E" w:rsidRDefault="004D2D8E" w:rsidP="00721828">
            <w:pPr>
              <w:contextualSpacing/>
              <w:jc w:val="center"/>
              <w:rPr>
                <w:rFonts w:asciiTheme="majorHAnsi" w:hAnsiTheme="majorHAnsi" w:cstheme="majorHAnsi"/>
                <w:b/>
              </w:rPr>
            </w:pPr>
            <w:r w:rsidRPr="00670C3E">
              <w:rPr>
                <w:rFonts w:asciiTheme="majorHAnsi" w:hAnsiTheme="majorHAnsi" w:cstheme="majorHAnsi"/>
                <w:b/>
              </w:rPr>
              <w:t>REQUIREMENTS AND COMPETENCIES</w:t>
            </w:r>
          </w:p>
        </w:tc>
      </w:tr>
      <w:tr w:rsidR="004D2D8E" w:rsidRPr="00670C3E" w:rsidTr="00670C3E">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2D8E" w:rsidRPr="00670C3E" w:rsidRDefault="004D2D8E" w:rsidP="00721828">
            <w:pPr>
              <w:contextualSpacing/>
              <w:rPr>
                <w:rFonts w:asciiTheme="majorHAnsi" w:hAnsiTheme="majorHAnsi" w:cstheme="majorHAnsi"/>
              </w:rPr>
            </w:pPr>
            <w:r w:rsidRPr="00670C3E">
              <w:rPr>
                <w:rFonts w:asciiTheme="majorHAnsi" w:hAnsiTheme="majorHAnsi" w:cstheme="majorHAnsi"/>
              </w:rPr>
              <w:t>Requirements</w:t>
            </w:r>
          </w:p>
        </w:tc>
        <w:tc>
          <w:tcPr>
            <w:tcW w:w="6844" w:type="dxa"/>
            <w:gridSpan w:val="2"/>
            <w:tcBorders>
              <w:top w:val="single" w:sz="2" w:space="0" w:color="auto"/>
              <w:left w:val="single" w:sz="2" w:space="0" w:color="auto"/>
              <w:bottom w:val="single" w:sz="2" w:space="0" w:color="auto"/>
              <w:right w:val="single" w:sz="2" w:space="0" w:color="auto"/>
            </w:tcBorders>
          </w:tcPr>
          <w:p w:rsidR="004D2D8E" w:rsidRPr="00670C3E" w:rsidRDefault="004D2D8E" w:rsidP="004D2D8E">
            <w:pPr>
              <w:numPr>
                <w:ilvl w:val="0"/>
                <w:numId w:val="31"/>
              </w:numPr>
              <w:contextualSpacing/>
              <w:rPr>
                <w:rFonts w:asciiTheme="majorHAnsi" w:hAnsiTheme="majorHAnsi" w:cstheme="majorHAnsi"/>
              </w:rPr>
            </w:pPr>
            <w:r w:rsidRPr="00670C3E">
              <w:rPr>
                <w:rFonts w:asciiTheme="majorHAnsi" w:hAnsiTheme="majorHAnsi" w:cstheme="majorHAnsi"/>
              </w:rPr>
              <w:t>Proven ability and experience leading and managing a large and complex enterprise</w:t>
            </w:r>
          </w:p>
          <w:p w:rsidR="004D2D8E" w:rsidRPr="00670C3E" w:rsidRDefault="004D2D8E" w:rsidP="004D2D8E">
            <w:pPr>
              <w:numPr>
                <w:ilvl w:val="0"/>
                <w:numId w:val="31"/>
              </w:numPr>
              <w:contextualSpacing/>
              <w:rPr>
                <w:rFonts w:asciiTheme="majorHAnsi" w:hAnsiTheme="majorHAnsi" w:cstheme="majorHAnsi"/>
              </w:rPr>
            </w:pPr>
            <w:r w:rsidRPr="00670C3E">
              <w:rPr>
                <w:rFonts w:asciiTheme="majorHAnsi" w:hAnsiTheme="majorHAnsi" w:cstheme="majorHAnsi"/>
              </w:rPr>
              <w:t xml:space="preserve">Previous experience with federal government or other large scale enterprise operations </w:t>
            </w:r>
          </w:p>
          <w:p w:rsidR="004D2D8E" w:rsidRPr="00670C3E" w:rsidRDefault="004D2D8E" w:rsidP="004D2D8E">
            <w:pPr>
              <w:numPr>
                <w:ilvl w:val="0"/>
                <w:numId w:val="31"/>
              </w:numPr>
              <w:contextualSpacing/>
              <w:rPr>
                <w:rFonts w:asciiTheme="majorHAnsi" w:hAnsiTheme="majorHAnsi" w:cstheme="majorHAnsi"/>
              </w:rPr>
            </w:pPr>
            <w:r w:rsidRPr="00670C3E">
              <w:rPr>
                <w:rFonts w:asciiTheme="majorHAnsi" w:hAnsiTheme="majorHAnsi" w:cstheme="majorHAnsi"/>
              </w:rPr>
              <w:t>Understanding of core services, programs and initiatives delivered by the agency’s key departments</w:t>
            </w:r>
          </w:p>
          <w:p w:rsidR="004D2D8E" w:rsidRPr="00670C3E" w:rsidRDefault="004D2D8E" w:rsidP="004D2D8E">
            <w:pPr>
              <w:numPr>
                <w:ilvl w:val="0"/>
                <w:numId w:val="31"/>
              </w:numPr>
              <w:contextualSpacing/>
              <w:rPr>
                <w:rFonts w:asciiTheme="majorHAnsi" w:hAnsiTheme="majorHAnsi" w:cstheme="majorHAnsi"/>
              </w:rPr>
            </w:pPr>
            <w:r w:rsidRPr="00670C3E">
              <w:rPr>
                <w:rFonts w:asciiTheme="majorHAnsi" w:hAnsiTheme="majorHAnsi" w:cstheme="majorHAnsi"/>
              </w:rPr>
              <w:t>Experience dealing with high-profile stakeholders</w:t>
            </w:r>
          </w:p>
          <w:p w:rsidR="004D2D8E" w:rsidRPr="00670C3E" w:rsidRDefault="004D2D8E" w:rsidP="004D2D8E">
            <w:pPr>
              <w:numPr>
                <w:ilvl w:val="0"/>
                <w:numId w:val="31"/>
              </w:numPr>
              <w:contextualSpacing/>
              <w:rPr>
                <w:rFonts w:asciiTheme="majorHAnsi" w:hAnsiTheme="majorHAnsi" w:cstheme="majorHAnsi"/>
              </w:rPr>
            </w:pPr>
            <w:r w:rsidRPr="00670C3E">
              <w:rPr>
                <w:rFonts w:asciiTheme="majorHAnsi" w:hAnsiTheme="majorHAnsi" w:cstheme="majorHAnsi"/>
                <w:bCs/>
              </w:rPr>
              <w:t>Ability to articulate and communicate the president’s vision for the American health care system to stakeholders and the American public</w:t>
            </w:r>
          </w:p>
          <w:p w:rsidR="004D2D8E" w:rsidRPr="00670C3E" w:rsidRDefault="004D2D8E" w:rsidP="004D2D8E">
            <w:pPr>
              <w:numPr>
                <w:ilvl w:val="0"/>
                <w:numId w:val="31"/>
              </w:numPr>
              <w:contextualSpacing/>
              <w:rPr>
                <w:rFonts w:asciiTheme="majorHAnsi" w:hAnsiTheme="majorHAnsi" w:cstheme="majorHAnsi"/>
              </w:rPr>
            </w:pPr>
            <w:r w:rsidRPr="00670C3E">
              <w:rPr>
                <w:rFonts w:asciiTheme="majorHAnsi" w:hAnsiTheme="majorHAnsi" w:cstheme="majorHAnsi"/>
              </w:rPr>
              <w:t>Experience leading through unexpected crisis situations (preferred)</w:t>
            </w:r>
          </w:p>
          <w:p w:rsidR="004D2D8E" w:rsidRPr="00670C3E" w:rsidRDefault="004D2D8E" w:rsidP="004D2D8E">
            <w:pPr>
              <w:numPr>
                <w:ilvl w:val="0"/>
                <w:numId w:val="31"/>
              </w:numPr>
              <w:contextualSpacing/>
              <w:rPr>
                <w:rFonts w:asciiTheme="majorHAnsi" w:hAnsiTheme="majorHAnsi" w:cstheme="majorHAnsi"/>
              </w:rPr>
            </w:pPr>
            <w:r w:rsidRPr="00670C3E">
              <w:rPr>
                <w:rFonts w:asciiTheme="majorHAnsi" w:hAnsiTheme="majorHAnsi" w:cstheme="majorHAnsi"/>
              </w:rPr>
              <w:t>Familiarity with the federal budget process (preferred)</w:t>
            </w:r>
          </w:p>
        </w:tc>
      </w:tr>
      <w:tr w:rsidR="004D2D8E" w:rsidRPr="00670C3E" w:rsidTr="00670C3E">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D2D8E" w:rsidRPr="00670C3E" w:rsidRDefault="004D2D8E" w:rsidP="00721828">
            <w:pPr>
              <w:contextualSpacing/>
              <w:rPr>
                <w:rFonts w:asciiTheme="majorHAnsi" w:hAnsiTheme="majorHAnsi" w:cstheme="majorHAnsi"/>
              </w:rPr>
            </w:pPr>
            <w:r w:rsidRPr="00670C3E">
              <w:rPr>
                <w:rFonts w:asciiTheme="majorHAnsi" w:hAnsiTheme="majorHAnsi" w:cstheme="majorHAnsi"/>
              </w:rPr>
              <w:t>Competencies</w:t>
            </w:r>
          </w:p>
        </w:tc>
        <w:tc>
          <w:tcPr>
            <w:tcW w:w="6844" w:type="dxa"/>
            <w:gridSpan w:val="2"/>
            <w:tcBorders>
              <w:top w:val="single" w:sz="2" w:space="0" w:color="auto"/>
              <w:left w:val="single" w:sz="2" w:space="0" w:color="auto"/>
              <w:bottom w:val="single" w:sz="2" w:space="0" w:color="auto"/>
              <w:right w:val="single" w:sz="2" w:space="0" w:color="auto"/>
            </w:tcBorders>
          </w:tcPr>
          <w:p w:rsidR="004D2D8E" w:rsidRPr="00670C3E" w:rsidRDefault="004D2D8E" w:rsidP="004D2D8E">
            <w:pPr>
              <w:numPr>
                <w:ilvl w:val="0"/>
                <w:numId w:val="43"/>
              </w:numPr>
              <w:ind w:left="432"/>
              <w:contextualSpacing/>
              <w:rPr>
                <w:rFonts w:asciiTheme="majorHAnsi" w:eastAsia="Calibri" w:hAnsiTheme="majorHAnsi" w:cstheme="majorHAnsi"/>
                <w:bCs/>
              </w:rPr>
            </w:pPr>
            <w:r w:rsidRPr="00670C3E">
              <w:rPr>
                <w:rFonts w:asciiTheme="majorHAnsi" w:eastAsia="Calibri" w:hAnsiTheme="majorHAnsi" w:cstheme="majorHAnsi"/>
                <w:bCs/>
              </w:rPr>
              <w:t>Demonstrated ability to resolve conflicts within a large organization</w:t>
            </w:r>
          </w:p>
          <w:p w:rsidR="004D2D8E" w:rsidRPr="00670C3E" w:rsidRDefault="004D2D8E" w:rsidP="004D2D8E">
            <w:pPr>
              <w:numPr>
                <w:ilvl w:val="0"/>
                <w:numId w:val="43"/>
              </w:numPr>
              <w:ind w:left="432"/>
              <w:contextualSpacing/>
              <w:rPr>
                <w:rFonts w:asciiTheme="majorHAnsi" w:eastAsia="Calibri" w:hAnsiTheme="majorHAnsi" w:cstheme="majorHAnsi"/>
                <w:bCs/>
              </w:rPr>
            </w:pPr>
            <w:r w:rsidRPr="00670C3E">
              <w:rPr>
                <w:rFonts w:asciiTheme="majorHAnsi" w:eastAsia="Calibri" w:hAnsiTheme="majorHAnsi" w:cstheme="majorHAnsi"/>
                <w:bCs/>
              </w:rPr>
              <w:t>Comfort leading and managing in ambiguous situations, as deputy secretaries often have very vague or undefined statutory responsibilities and authorities</w:t>
            </w:r>
          </w:p>
          <w:p w:rsidR="004D2D8E" w:rsidRPr="00670C3E" w:rsidRDefault="004D2D8E" w:rsidP="004D2D8E">
            <w:pPr>
              <w:numPr>
                <w:ilvl w:val="0"/>
                <w:numId w:val="43"/>
              </w:numPr>
              <w:ind w:left="432"/>
              <w:contextualSpacing/>
              <w:rPr>
                <w:rFonts w:asciiTheme="majorHAnsi" w:eastAsia="Calibri" w:hAnsiTheme="majorHAnsi" w:cstheme="majorHAnsi"/>
                <w:bCs/>
              </w:rPr>
            </w:pPr>
            <w:r w:rsidRPr="00670C3E">
              <w:rPr>
                <w:rFonts w:asciiTheme="majorHAnsi" w:eastAsia="Calibri" w:hAnsiTheme="majorHAnsi" w:cstheme="majorHAnsi"/>
                <w:bCs/>
              </w:rPr>
              <w:t>Ability to establish positive relationships with co-workers and external stakeholders</w:t>
            </w:r>
          </w:p>
          <w:p w:rsidR="004D2D8E" w:rsidRPr="00670C3E" w:rsidRDefault="004D2D8E" w:rsidP="004D2D8E">
            <w:pPr>
              <w:numPr>
                <w:ilvl w:val="0"/>
                <w:numId w:val="43"/>
              </w:numPr>
              <w:ind w:left="432"/>
              <w:contextualSpacing/>
              <w:rPr>
                <w:rFonts w:asciiTheme="majorHAnsi" w:eastAsia="Calibri" w:hAnsiTheme="majorHAnsi" w:cstheme="majorHAnsi"/>
                <w:bCs/>
              </w:rPr>
            </w:pPr>
            <w:r w:rsidRPr="00670C3E">
              <w:rPr>
                <w:rFonts w:asciiTheme="majorHAnsi" w:eastAsia="Calibri" w:hAnsiTheme="majorHAnsi" w:cstheme="majorHAnsi"/>
                <w:bCs/>
              </w:rPr>
              <w:t>Ability to forge strong congressional relationships (preferred)</w:t>
            </w:r>
          </w:p>
        </w:tc>
      </w:tr>
      <w:tr w:rsidR="00684398" w:rsidRPr="00670C3E" w:rsidTr="00670C3E">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670C3E" w:rsidRDefault="00684398" w:rsidP="00684398">
            <w:pPr>
              <w:jc w:val="center"/>
              <w:rPr>
                <w:rFonts w:asciiTheme="majorHAnsi" w:hAnsiTheme="majorHAnsi" w:cstheme="majorHAnsi"/>
                <w:b/>
              </w:rPr>
            </w:pPr>
            <w:r w:rsidRPr="00670C3E">
              <w:rPr>
                <w:rFonts w:asciiTheme="majorHAnsi" w:hAnsiTheme="majorHAnsi" w:cstheme="majorHAnsi"/>
                <w:b/>
              </w:rPr>
              <w:t>PAST APPOINTEES</w:t>
            </w:r>
          </w:p>
        </w:tc>
      </w:tr>
      <w:bookmarkEnd w:id="0"/>
      <w:tr w:rsidR="008149B1" w:rsidRPr="00670C3E" w:rsidTr="00670C3E">
        <w:trPr>
          <w:gridAfter w:val="1"/>
          <w:wAfter w:w="7" w:type="dxa"/>
        </w:trPr>
        <w:tc>
          <w:tcPr>
            <w:tcW w:w="9462" w:type="dxa"/>
            <w:gridSpan w:val="2"/>
          </w:tcPr>
          <w:p w:rsidR="008149B1" w:rsidRPr="00670C3E" w:rsidRDefault="004D2D8E" w:rsidP="000B19A6">
            <w:pPr>
              <w:contextualSpacing/>
              <w:rPr>
                <w:rFonts w:asciiTheme="majorHAnsi" w:hAnsiTheme="majorHAnsi" w:cstheme="majorHAnsi"/>
              </w:rPr>
            </w:pPr>
            <w:r w:rsidRPr="00670C3E">
              <w:rPr>
                <w:rFonts w:asciiTheme="majorHAnsi" w:hAnsiTheme="majorHAnsi" w:cstheme="majorHAnsi"/>
              </w:rPr>
              <w:t>Mary Wakefield (2015-</w:t>
            </w:r>
            <w:r w:rsidR="000B19A6">
              <w:rPr>
                <w:rFonts w:asciiTheme="majorHAnsi" w:hAnsiTheme="majorHAnsi" w:cstheme="majorHAnsi"/>
              </w:rPr>
              <w:t>2017</w:t>
            </w:r>
            <w:r w:rsidRPr="00670C3E">
              <w:rPr>
                <w:rFonts w:asciiTheme="majorHAnsi" w:hAnsiTheme="majorHAnsi" w:cstheme="majorHAnsi"/>
              </w:rPr>
              <w:t>) (acting) –</w:t>
            </w:r>
            <w:r w:rsidRPr="00670C3E">
              <w:rPr>
                <w:rFonts w:asciiTheme="majorHAnsi" w:hAnsiTheme="majorHAnsi" w:cstheme="majorHAnsi"/>
                <w:lang w:val="en"/>
              </w:rPr>
              <w:t xml:space="preserve"> Administrator of the </w:t>
            </w:r>
            <w:r w:rsidRPr="00670C3E">
              <w:rPr>
                <w:rFonts w:asciiTheme="majorHAnsi" w:eastAsia="Calibri" w:hAnsiTheme="majorHAnsi" w:cstheme="majorHAnsi"/>
                <w:lang w:val="en"/>
              </w:rPr>
              <w:t>Health Resources and Services Administration</w:t>
            </w:r>
            <w:r w:rsidRPr="00670C3E">
              <w:rPr>
                <w:rFonts w:asciiTheme="majorHAnsi" w:hAnsiTheme="majorHAnsi" w:cstheme="majorHAnsi"/>
                <w:lang w:val="en"/>
              </w:rPr>
              <w:t xml:space="preserve"> (HRSA)</w:t>
            </w:r>
            <w:r w:rsidRPr="00670C3E">
              <w:rPr>
                <w:rFonts w:asciiTheme="majorHAnsi" w:hAnsiTheme="majorHAnsi" w:cstheme="majorHAnsi"/>
              </w:rPr>
              <w:t>;</w:t>
            </w:r>
            <w:r w:rsidRPr="00670C3E">
              <w:rPr>
                <w:rFonts w:asciiTheme="majorHAnsi" w:hAnsiTheme="majorHAnsi" w:cstheme="majorHAnsi"/>
                <w:lang w:val="en"/>
              </w:rPr>
              <w:t xml:space="preserve"> Assistant Dean and Professor at the University of North Dakota</w:t>
            </w:r>
            <w:r w:rsidRPr="00670C3E">
              <w:rPr>
                <w:rFonts w:asciiTheme="majorHAnsi" w:hAnsiTheme="majorHAnsi" w:cstheme="majorHAnsi"/>
              </w:rPr>
              <w:t>; C</w:t>
            </w:r>
            <w:proofErr w:type="spellStart"/>
            <w:r w:rsidRPr="00670C3E">
              <w:rPr>
                <w:rFonts w:asciiTheme="majorHAnsi" w:hAnsiTheme="majorHAnsi" w:cstheme="majorHAnsi"/>
                <w:lang w:val="en"/>
              </w:rPr>
              <w:t>hief</w:t>
            </w:r>
            <w:proofErr w:type="spellEnd"/>
            <w:r w:rsidRPr="00670C3E">
              <w:rPr>
                <w:rFonts w:asciiTheme="majorHAnsi" w:hAnsiTheme="majorHAnsi" w:cstheme="majorHAnsi"/>
                <w:lang w:val="en"/>
              </w:rPr>
              <w:t xml:space="preserve"> of Staff for two United States Senators</w:t>
            </w:r>
          </w:p>
        </w:tc>
      </w:tr>
      <w:tr w:rsidR="008149B1" w:rsidRPr="00670C3E" w:rsidTr="00670C3E">
        <w:trPr>
          <w:gridAfter w:val="1"/>
          <w:wAfter w:w="7" w:type="dxa"/>
        </w:trPr>
        <w:tc>
          <w:tcPr>
            <w:tcW w:w="9462" w:type="dxa"/>
            <w:gridSpan w:val="2"/>
          </w:tcPr>
          <w:p w:rsidR="008149B1" w:rsidRPr="00670C3E" w:rsidRDefault="004D2D8E" w:rsidP="00BC3CF1">
            <w:pPr>
              <w:contextualSpacing/>
              <w:rPr>
                <w:rFonts w:asciiTheme="majorHAnsi" w:hAnsiTheme="majorHAnsi" w:cstheme="majorHAnsi"/>
              </w:rPr>
            </w:pPr>
            <w:r w:rsidRPr="00670C3E">
              <w:rPr>
                <w:rFonts w:asciiTheme="majorHAnsi" w:hAnsiTheme="majorHAnsi" w:cstheme="majorHAnsi"/>
              </w:rPr>
              <w:lastRenderedPageBreak/>
              <w:t xml:space="preserve">Bill </w:t>
            </w:r>
            <w:proofErr w:type="spellStart"/>
            <w:r w:rsidRPr="00670C3E">
              <w:rPr>
                <w:rFonts w:asciiTheme="majorHAnsi" w:hAnsiTheme="majorHAnsi" w:cstheme="majorHAnsi"/>
              </w:rPr>
              <w:t>Corr</w:t>
            </w:r>
            <w:proofErr w:type="spellEnd"/>
            <w:r w:rsidRPr="00670C3E">
              <w:rPr>
                <w:rFonts w:asciiTheme="majorHAnsi" w:hAnsiTheme="majorHAnsi" w:cstheme="majorHAnsi"/>
              </w:rPr>
              <w:t xml:space="preserve"> (2009-2015) – </w:t>
            </w:r>
            <w:r w:rsidRPr="00670C3E">
              <w:rPr>
                <w:rFonts w:asciiTheme="majorHAnsi" w:hAnsiTheme="majorHAnsi" w:cstheme="majorHAnsi"/>
                <w:lang w:val="en"/>
              </w:rPr>
              <w:t>Executive Director of the Campaign for Tobacco-Free Kids</w:t>
            </w:r>
            <w:r w:rsidRPr="00670C3E">
              <w:rPr>
                <w:rFonts w:asciiTheme="majorHAnsi" w:hAnsiTheme="majorHAnsi" w:cstheme="majorHAnsi"/>
              </w:rPr>
              <w:t>; C</w:t>
            </w:r>
            <w:proofErr w:type="spellStart"/>
            <w:r w:rsidRPr="00670C3E">
              <w:rPr>
                <w:rFonts w:asciiTheme="majorHAnsi" w:hAnsiTheme="majorHAnsi" w:cstheme="majorHAnsi"/>
                <w:lang w:val="en"/>
              </w:rPr>
              <w:t>hief</w:t>
            </w:r>
            <w:proofErr w:type="spellEnd"/>
            <w:r w:rsidRPr="00670C3E">
              <w:rPr>
                <w:rFonts w:asciiTheme="majorHAnsi" w:hAnsiTheme="majorHAnsi" w:cstheme="majorHAnsi"/>
                <w:lang w:val="en"/>
              </w:rPr>
              <w:t xml:space="preserve"> Counsel and Policy Director for Senate Minority Leader Tom Daschle</w:t>
            </w:r>
            <w:r w:rsidRPr="00670C3E">
              <w:rPr>
                <w:rFonts w:asciiTheme="majorHAnsi" w:hAnsiTheme="majorHAnsi" w:cstheme="majorHAnsi"/>
              </w:rPr>
              <w:t xml:space="preserve">; </w:t>
            </w:r>
            <w:r w:rsidRPr="00670C3E">
              <w:rPr>
                <w:rFonts w:asciiTheme="majorHAnsi" w:hAnsiTheme="majorHAnsi" w:cstheme="majorHAnsi"/>
                <w:lang w:val="en"/>
              </w:rPr>
              <w:t>Chief of Staff for the Department of Health and Human Services</w:t>
            </w:r>
          </w:p>
        </w:tc>
      </w:tr>
      <w:tr w:rsidR="008149B1" w:rsidRPr="00670C3E" w:rsidTr="00670C3E">
        <w:trPr>
          <w:gridAfter w:val="1"/>
          <w:wAfter w:w="7" w:type="dxa"/>
        </w:trPr>
        <w:tc>
          <w:tcPr>
            <w:tcW w:w="9462" w:type="dxa"/>
            <w:gridSpan w:val="2"/>
          </w:tcPr>
          <w:p w:rsidR="008149B1" w:rsidRPr="00670C3E" w:rsidRDefault="004D2D8E" w:rsidP="00BC3CF1">
            <w:pPr>
              <w:contextualSpacing/>
              <w:rPr>
                <w:rFonts w:asciiTheme="majorHAnsi" w:hAnsiTheme="majorHAnsi" w:cstheme="majorHAnsi"/>
              </w:rPr>
            </w:pPr>
            <w:proofErr w:type="spellStart"/>
            <w:r w:rsidRPr="00670C3E">
              <w:rPr>
                <w:rFonts w:asciiTheme="majorHAnsi" w:hAnsiTheme="majorHAnsi" w:cstheme="majorHAnsi"/>
              </w:rPr>
              <w:t>Tevi</w:t>
            </w:r>
            <w:proofErr w:type="spellEnd"/>
            <w:r w:rsidRPr="00670C3E">
              <w:rPr>
                <w:rFonts w:asciiTheme="majorHAnsi" w:hAnsiTheme="majorHAnsi" w:cstheme="majorHAnsi"/>
              </w:rPr>
              <w:t xml:space="preserve"> Troy (2007-2009) –</w:t>
            </w:r>
            <w:r w:rsidRPr="00670C3E">
              <w:rPr>
                <w:rFonts w:asciiTheme="majorHAnsi" w:hAnsiTheme="majorHAnsi" w:cstheme="majorHAnsi"/>
                <w:lang w:val="en"/>
              </w:rPr>
              <w:t xml:space="preserve"> Deputy Assistant to the President for Domestic Policy</w:t>
            </w:r>
            <w:r w:rsidRPr="00670C3E">
              <w:rPr>
                <w:rFonts w:asciiTheme="majorHAnsi" w:hAnsiTheme="majorHAnsi" w:cstheme="majorHAnsi"/>
              </w:rPr>
              <w:t>;</w:t>
            </w:r>
            <w:r w:rsidRPr="00670C3E">
              <w:rPr>
                <w:rFonts w:asciiTheme="majorHAnsi" w:hAnsiTheme="majorHAnsi" w:cstheme="majorHAnsi"/>
                <w:lang w:val="en"/>
              </w:rPr>
              <w:t xml:space="preserve"> Deputy Assistant Secretary for Policy at the Department of Labor</w:t>
            </w:r>
            <w:r w:rsidRPr="00670C3E">
              <w:rPr>
                <w:rFonts w:asciiTheme="majorHAnsi" w:hAnsiTheme="majorHAnsi" w:cstheme="majorHAnsi"/>
              </w:rPr>
              <w:t>; P</w:t>
            </w:r>
            <w:proofErr w:type="spellStart"/>
            <w:r w:rsidRPr="00670C3E">
              <w:rPr>
                <w:rFonts w:asciiTheme="majorHAnsi" w:hAnsiTheme="majorHAnsi" w:cstheme="majorHAnsi"/>
                <w:lang w:val="en"/>
              </w:rPr>
              <w:t>olicy</w:t>
            </w:r>
            <w:proofErr w:type="spellEnd"/>
            <w:r w:rsidRPr="00670C3E">
              <w:rPr>
                <w:rFonts w:asciiTheme="majorHAnsi" w:hAnsiTheme="majorHAnsi" w:cstheme="majorHAnsi"/>
                <w:lang w:val="en"/>
              </w:rPr>
              <w:t xml:space="preserve"> Director for Sen. </w:t>
            </w:r>
            <w:r w:rsidRPr="00670C3E">
              <w:rPr>
                <w:rFonts w:asciiTheme="majorHAnsi" w:eastAsia="Calibri" w:hAnsiTheme="majorHAnsi" w:cstheme="majorHAnsi"/>
                <w:lang w:val="en"/>
              </w:rPr>
              <w:t>John Ashcroft</w:t>
            </w:r>
          </w:p>
        </w:tc>
      </w:tr>
      <w:tr w:rsidR="004D2D8E" w:rsidRPr="00670C3E" w:rsidTr="00670C3E">
        <w:trPr>
          <w:trHeight w:val="486"/>
        </w:trPr>
        <w:tc>
          <w:tcPr>
            <w:tcW w:w="9462" w:type="dxa"/>
            <w:gridSpan w:val="3"/>
            <w:tcBorders>
              <w:top w:val="single" w:sz="2" w:space="0" w:color="auto"/>
              <w:left w:val="single" w:sz="2" w:space="0" w:color="auto"/>
              <w:bottom w:val="single" w:sz="2" w:space="0" w:color="auto"/>
              <w:right w:val="single" w:sz="2" w:space="0" w:color="auto"/>
            </w:tcBorders>
          </w:tcPr>
          <w:p w:rsidR="004D2D8E" w:rsidRPr="00670C3E" w:rsidRDefault="004D2D8E" w:rsidP="00721828">
            <w:pPr>
              <w:contextualSpacing/>
              <w:rPr>
                <w:rFonts w:asciiTheme="majorHAnsi" w:hAnsiTheme="majorHAnsi" w:cstheme="majorHAnsi"/>
              </w:rPr>
            </w:pPr>
            <w:r w:rsidRPr="00670C3E">
              <w:rPr>
                <w:rFonts w:asciiTheme="majorHAnsi" w:hAnsiTheme="majorHAnsi" w:cstheme="majorHAnsi"/>
              </w:rPr>
              <w:t>Alex M. Azar II (June 2001- 2007) – General Counsel at HHS; P</w:t>
            </w:r>
            <w:proofErr w:type="spellStart"/>
            <w:r w:rsidRPr="00670C3E">
              <w:rPr>
                <w:rFonts w:asciiTheme="majorHAnsi" w:hAnsiTheme="majorHAnsi" w:cstheme="majorHAnsi"/>
                <w:lang w:val="en"/>
              </w:rPr>
              <w:t>artner</w:t>
            </w:r>
            <w:proofErr w:type="spellEnd"/>
            <w:r w:rsidRPr="00670C3E">
              <w:rPr>
                <w:rFonts w:asciiTheme="majorHAnsi" w:hAnsiTheme="majorHAnsi" w:cstheme="majorHAnsi"/>
                <w:lang w:val="en"/>
              </w:rPr>
              <w:t xml:space="preserve"> with the law firm of </w:t>
            </w:r>
            <w:r w:rsidRPr="00670C3E">
              <w:rPr>
                <w:rFonts w:asciiTheme="majorHAnsi" w:eastAsia="Calibri" w:hAnsiTheme="majorHAnsi" w:cstheme="majorHAnsi"/>
                <w:lang w:val="en"/>
              </w:rPr>
              <w:t>Wiley Rein</w:t>
            </w:r>
            <w:r w:rsidRPr="00670C3E">
              <w:rPr>
                <w:rFonts w:asciiTheme="majorHAnsi" w:hAnsiTheme="majorHAnsi" w:cstheme="majorHAnsi"/>
              </w:rPr>
              <w:t xml:space="preserve">; </w:t>
            </w:r>
            <w:r w:rsidRPr="00670C3E">
              <w:rPr>
                <w:rFonts w:asciiTheme="majorHAnsi" w:hAnsiTheme="majorHAnsi" w:cstheme="majorHAnsi"/>
                <w:lang w:val="en"/>
              </w:rPr>
              <w:t xml:space="preserve">Associate with </w:t>
            </w:r>
            <w:r w:rsidRPr="00670C3E">
              <w:rPr>
                <w:rFonts w:asciiTheme="majorHAnsi" w:eastAsia="Calibri" w:hAnsiTheme="majorHAnsi" w:cstheme="majorHAnsi"/>
                <w:lang w:val="en"/>
              </w:rPr>
              <w:t>Kirkland &amp; Ellis</w:t>
            </w:r>
          </w:p>
        </w:tc>
      </w:tr>
    </w:tbl>
    <w:p w:rsidR="00224D1E" w:rsidRPr="00224D1E" w:rsidRDefault="00224D1E">
      <w:pPr>
        <w:rPr>
          <w:rFonts w:asciiTheme="majorHAnsi" w:hAnsiTheme="majorHAnsi" w:cstheme="majorHAnsi"/>
        </w:rPr>
      </w:pPr>
    </w:p>
    <w:sectPr w:rsidR="00224D1E" w:rsidRPr="00224D1E" w:rsidSect="004D2D8E">
      <w:headerReference w:type="default" r:id="rId13"/>
      <w:footerReference w:type="even" r:id="rId14"/>
      <w:footerReference w:type="default" r:id="rId15"/>
      <w:headerReference w:type="first" r:id="rId16"/>
      <w:footerReference w:type="first" r:id="rId17"/>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556" w:rsidRDefault="00BC7556" w:rsidP="001E22F1">
      <w:r>
        <w:separator/>
      </w:r>
    </w:p>
  </w:endnote>
  <w:endnote w:type="continuationSeparator" w:id="0">
    <w:p w:rsidR="00BC7556" w:rsidRDefault="00BC7556" w:rsidP="001E22F1">
      <w:r>
        <w:continuationSeparator/>
      </w:r>
    </w:p>
  </w:endnote>
  <w:endnote w:id="1">
    <w:p w:rsidR="00670C3E" w:rsidRDefault="00670C3E">
      <w:pPr>
        <w:pStyle w:val="EndnoteText"/>
      </w:pPr>
      <w:r>
        <w:rPr>
          <w:rStyle w:val="EndnoteReference"/>
        </w:rPr>
        <w:endnoteRef/>
      </w:r>
      <w:r>
        <w:t xml:space="preserve"> </w:t>
      </w:r>
      <w:r w:rsidR="005C5068">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556" w:rsidRDefault="00BC7556" w:rsidP="001E22F1">
      <w:r>
        <w:separator/>
      </w:r>
    </w:p>
  </w:footnote>
  <w:footnote w:type="continuationSeparator" w:id="0">
    <w:p w:rsidR="00BC7556" w:rsidRDefault="00BC7556"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2154A"/>
    <w:multiLevelType w:val="hybridMultilevel"/>
    <w:tmpl w:val="C3402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2"/>
  </w:num>
  <w:num w:numId="4">
    <w:abstractNumId w:val="42"/>
  </w:num>
  <w:num w:numId="5">
    <w:abstractNumId w:val="6"/>
  </w:num>
  <w:num w:numId="6">
    <w:abstractNumId w:val="38"/>
  </w:num>
  <w:num w:numId="7">
    <w:abstractNumId w:val="4"/>
  </w:num>
  <w:num w:numId="8">
    <w:abstractNumId w:val="33"/>
  </w:num>
  <w:num w:numId="9">
    <w:abstractNumId w:val="15"/>
  </w:num>
  <w:num w:numId="10">
    <w:abstractNumId w:val="7"/>
  </w:num>
  <w:num w:numId="11">
    <w:abstractNumId w:val="14"/>
  </w:num>
  <w:num w:numId="12">
    <w:abstractNumId w:val="25"/>
  </w:num>
  <w:num w:numId="13">
    <w:abstractNumId w:val="23"/>
  </w:num>
  <w:num w:numId="14">
    <w:abstractNumId w:val="27"/>
  </w:num>
  <w:num w:numId="15">
    <w:abstractNumId w:val="30"/>
  </w:num>
  <w:num w:numId="16">
    <w:abstractNumId w:val="1"/>
  </w:num>
  <w:num w:numId="17">
    <w:abstractNumId w:val="20"/>
  </w:num>
  <w:num w:numId="18">
    <w:abstractNumId w:val="37"/>
  </w:num>
  <w:num w:numId="19">
    <w:abstractNumId w:val="9"/>
  </w:num>
  <w:num w:numId="20">
    <w:abstractNumId w:val="29"/>
  </w:num>
  <w:num w:numId="21">
    <w:abstractNumId w:val="34"/>
  </w:num>
  <w:num w:numId="22">
    <w:abstractNumId w:val="11"/>
  </w:num>
  <w:num w:numId="23">
    <w:abstractNumId w:val="8"/>
  </w:num>
  <w:num w:numId="24">
    <w:abstractNumId w:val="35"/>
  </w:num>
  <w:num w:numId="25">
    <w:abstractNumId w:val="13"/>
  </w:num>
  <w:num w:numId="26">
    <w:abstractNumId w:val="2"/>
  </w:num>
  <w:num w:numId="27">
    <w:abstractNumId w:val="21"/>
  </w:num>
  <w:num w:numId="28">
    <w:abstractNumId w:val="18"/>
  </w:num>
  <w:num w:numId="29">
    <w:abstractNumId w:val="22"/>
  </w:num>
  <w:num w:numId="30">
    <w:abstractNumId w:val="32"/>
  </w:num>
  <w:num w:numId="31">
    <w:abstractNumId w:val="40"/>
  </w:num>
  <w:num w:numId="32">
    <w:abstractNumId w:val="41"/>
  </w:num>
  <w:num w:numId="33">
    <w:abstractNumId w:val="10"/>
  </w:num>
  <w:num w:numId="34">
    <w:abstractNumId w:val="0"/>
  </w:num>
  <w:num w:numId="35">
    <w:abstractNumId w:val="31"/>
  </w:num>
  <w:num w:numId="36">
    <w:abstractNumId w:val="24"/>
  </w:num>
  <w:num w:numId="37">
    <w:abstractNumId w:val="26"/>
  </w:num>
  <w:num w:numId="38">
    <w:abstractNumId w:val="19"/>
  </w:num>
  <w:num w:numId="39">
    <w:abstractNumId w:val="28"/>
  </w:num>
  <w:num w:numId="40">
    <w:abstractNumId w:val="16"/>
  </w:num>
  <w:num w:numId="41">
    <w:abstractNumId w:val="36"/>
  </w:num>
  <w:num w:numId="42">
    <w:abstractNumId w:val="1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19A6"/>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4AD2"/>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C1D03"/>
    <w:rsid w:val="004D2D8E"/>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C5068"/>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C3E"/>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556"/>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574C"/>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scode.house.gov/view.xhtml?req=(title:31%20section:1123%20edition:prelim)%20OR%20(granuleid:USC-prelim-title31-section1123)&amp;f=treesort&amp;edition=prelim&amp;num=0&amp;jumpTo=tru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code.house.gov/view.xhtml?req=(title:42%20section:3501%20edition:prelim)%20OR%20(granuleid:USC-prelim-title42-section3501)&amp;f=treesort&amp;edition=prelim&amp;num=0&amp;jumpTo=tru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6C13A57C-8D46-4EAC-946C-FA2E9C10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5037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2017-02-17T16:44:00Z</dcterms:created>
  <dcterms:modified xsi:type="dcterms:W3CDTF">2017-08-23T20:13:00Z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