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24" w:rsidRPr="00EC2C24" w:rsidRDefault="00EC2C24" w:rsidP="00EC2C24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EC2C24">
        <w:rPr>
          <w:rFonts w:ascii="Arial" w:eastAsia="MS Gothic" w:hAnsi="Arial" w:cs="Arial"/>
          <w:bCs/>
          <w:caps/>
          <w:sz w:val="20"/>
        </w:rPr>
        <w:t>POSITION DESCRIPTION</w:t>
      </w:r>
    </w:p>
    <w:p w:rsidR="00EC2C24" w:rsidRPr="00EC2C24" w:rsidRDefault="00EC2C24" w:rsidP="00EC2C24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 w:rsidRPr="00EC2C24">
        <w:rPr>
          <w:rFonts w:ascii="Arial" w:eastAsia="MS Gothic" w:hAnsi="Arial" w:cs="Arial"/>
          <w:b/>
          <w:bCs/>
          <w:caps/>
          <w:sz w:val="26"/>
          <w:szCs w:val="26"/>
        </w:rPr>
        <w:t>BOARD MEMBER</w:t>
      </w:r>
      <w:r w:rsidR="004053D1">
        <w:rPr>
          <w:rFonts w:ascii="Arial" w:eastAsia="MS Gothic" w:hAnsi="Arial" w:cs="Arial"/>
          <w:b/>
          <w:bCs/>
          <w:caps/>
          <w:sz w:val="26"/>
          <w:szCs w:val="26"/>
        </w:rPr>
        <w:t>/Chair</w:t>
      </w:r>
      <w:r w:rsidRPr="00EC2C24">
        <w:rPr>
          <w:rFonts w:ascii="Arial" w:eastAsia="MS Gothic" w:hAnsi="Arial" w:cs="Arial"/>
          <w:b/>
          <w:bCs/>
          <w:caps/>
          <w:sz w:val="26"/>
          <w:szCs w:val="26"/>
        </w:rPr>
        <w:t>, FEDERAL DEPOSIT INSURANCE CORPORATION</w:t>
      </w:r>
    </w:p>
    <w:p w:rsidR="00EC2C24" w:rsidRPr="00EC2C24" w:rsidRDefault="00EC2C24" w:rsidP="00EC2C24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2D20D8" w:rsidRPr="002D20D8" w:rsidTr="00EC2C2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C2C24" w:rsidRPr="002D20D8" w:rsidRDefault="00EC2C24" w:rsidP="00EC2C2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/>
                <w:sz w:val="22"/>
                <w:szCs w:val="22"/>
              </w:rPr>
              <w:t>OVERVIEW</w:t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24" w:rsidRPr="002D20D8" w:rsidRDefault="00AA1F92" w:rsidP="00FC0FCA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Banking, Housing</w:t>
            </w:r>
            <w:r w:rsidR="00A06657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Urban Affairs</w:t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76C" w:rsidRPr="002D20D8" w:rsidRDefault="0050176C" w:rsidP="0050176C">
            <w:pPr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To maintain stability and public confidence in the nation’s financial system by insuring deposits; examining and supervising</w:t>
            </w:r>
          </w:p>
          <w:p w:rsidR="00EC2C24" w:rsidRPr="002D20D8" w:rsidRDefault="0050176C" w:rsidP="0050176C">
            <w:pPr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financial institutions for safety, soundness and consumer protection; and managing and resolving failed financial institutions</w:t>
            </w:r>
            <w:r w:rsidRPr="002D20D8">
              <w:rPr>
                <w:rFonts w:ascii="Arial" w:hAnsi="Arial" w:cs="Arial"/>
                <w:sz w:val="22"/>
                <w:szCs w:val="22"/>
                <w:vertAlign w:val="superscript"/>
              </w:rPr>
              <w:endnoteReference w:id="1"/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24" w:rsidRPr="002D20D8" w:rsidRDefault="0050176C" w:rsidP="0050176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Members of the Federal Deposit In</w:t>
            </w:r>
            <w:r w:rsidR="004053D1" w:rsidRPr="002D20D8">
              <w:rPr>
                <w:rFonts w:ascii="Arial" w:eastAsia="Calibri" w:hAnsi="Arial" w:cs="Arial"/>
                <w:bCs/>
                <w:sz w:val="22"/>
                <w:szCs w:val="22"/>
              </w:rPr>
              <w:t>surance Corporation (FDIC) work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to maintain stability and public confidence in the nation’s financial system by protecting insured bank accounts; supervising financial institutions for safety, soundness and consumer protection; and managing the orderly resolution of failed financial institutions.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endnoteReference w:id="2"/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24" w:rsidRPr="002D20D8" w:rsidRDefault="00EC2C24" w:rsidP="000373F5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Level IV $</w:t>
            </w:r>
            <w:r w:rsidR="000373F5">
              <w:rPr>
                <w:rFonts w:ascii="Arial" w:eastAsia="Calibri" w:hAnsi="Arial" w:cs="Arial"/>
                <w:bCs/>
                <w:sz w:val="22"/>
                <w:szCs w:val="22"/>
              </w:rPr>
              <w:t>155,500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(5 U.S.C. § 5315)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24" w:rsidRPr="002D20D8" w:rsidRDefault="0006016B" w:rsidP="00B0022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Th</w:t>
            </w:r>
            <w:r w:rsidR="00AA1F92" w:rsidRPr="002D20D8">
              <w:rPr>
                <w:rFonts w:ascii="Arial" w:eastAsia="Calibri" w:hAnsi="Arial" w:cs="Arial"/>
                <w:sz w:val="22"/>
                <w:szCs w:val="22"/>
              </w:rPr>
              <w:t>e FDIC is an independent agency</w:t>
            </w:r>
            <w:r w:rsidR="00F2489F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2D20D8" w:rsidRPr="002D20D8" w:rsidTr="00EC2C2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C2C24" w:rsidRPr="002D20D8" w:rsidRDefault="00EC2C24" w:rsidP="00FC0FC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24" w:rsidRPr="002D20D8" w:rsidRDefault="004053D1" w:rsidP="000403C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bCs/>
                <w:sz w:val="22"/>
                <w:szCs w:val="22"/>
              </w:rPr>
              <w:t>In fiscal 2015, the FDIC had a $2.1 billion operating budget</w:t>
            </w:r>
            <w:r w:rsidR="007F1E1F" w:rsidRPr="002D20D8">
              <w:rPr>
                <w:rFonts w:ascii="Arial" w:hAnsi="Arial" w:cs="Arial"/>
                <w:bCs/>
                <w:sz w:val="22"/>
                <w:szCs w:val="22"/>
              </w:rPr>
              <w:t xml:space="preserve"> (the FDIC receives no federal tax dollars</w:t>
            </w:r>
            <w:r w:rsidR="00F2489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7F1E1F" w:rsidRPr="002D20D8">
              <w:rPr>
                <w:rFonts w:ascii="Arial" w:hAnsi="Arial" w:cs="Arial"/>
                <w:bCs/>
                <w:sz w:val="22"/>
                <w:szCs w:val="22"/>
              </w:rPr>
              <w:t xml:space="preserve"> insured financial institutions fund its operations)</w:t>
            </w:r>
            <w:r w:rsidR="00E9023D" w:rsidRPr="002D20D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9023D" w:rsidRPr="002D20D8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4"/>
            </w:r>
            <w:r w:rsidR="00F303B3" w:rsidRPr="002D20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023D" w:rsidRPr="002D20D8">
              <w:rPr>
                <w:rFonts w:ascii="Arial" w:hAnsi="Arial" w:cs="Arial"/>
                <w:bCs/>
                <w:sz w:val="22"/>
                <w:szCs w:val="22"/>
              </w:rPr>
              <w:t xml:space="preserve">The FDIC employs more than 7,000 people. 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>It insures trillions of dollars of deposits in U.S. banks and thrifts</w:t>
            </w:r>
            <w:r w:rsidR="00370A78">
              <w:rPr>
                <w:rFonts w:ascii="Arial" w:hAnsi="Arial" w:cs="Arial"/>
                <w:sz w:val="22"/>
                <w:szCs w:val="22"/>
              </w:rPr>
              <w:t xml:space="preserve">—the 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>deposits in virtually every bank and thrift in the country. The FDIC directly examines and supervises about 4,000 banks and savings banks</w:t>
            </w:r>
            <w:r w:rsidR="00370A78">
              <w:rPr>
                <w:rFonts w:ascii="Arial" w:hAnsi="Arial" w:cs="Arial"/>
                <w:sz w:val="22"/>
                <w:szCs w:val="22"/>
              </w:rPr>
              <w:t>—</w:t>
            </w:r>
            <w:r w:rsidR="00F2489F" w:rsidRPr="002D20D8">
              <w:rPr>
                <w:rFonts w:ascii="Arial" w:hAnsi="Arial" w:cs="Arial"/>
                <w:sz w:val="22"/>
                <w:szCs w:val="22"/>
              </w:rPr>
              <w:t>more than half of the ins</w:t>
            </w:r>
            <w:r w:rsidR="00F2489F">
              <w:rPr>
                <w:rFonts w:ascii="Arial" w:hAnsi="Arial" w:cs="Arial"/>
                <w:sz w:val="22"/>
                <w:szCs w:val="22"/>
              </w:rPr>
              <w:t>titutions in the banking system</w:t>
            </w:r>
            <w:r w:rsidR="00370A78">
              <w:rPr>
                <w:rFonts w:ascii="Arial" w:hAnsi="Arial" w:cs="Arial"/>
                <w:sz w:val="22"/>
                <w:szCs w:val="22"/>
              </w:rPr>
              <w:t>—</w:t>
            </w:r>
            <w:r w:rsidR="00370A78" w:rsidRPr="002D20D8">
              <w:rPr>
                <w:rFonts w:ascii="Arial" w:hAnsi="Arial" w:cs="Arial"/>
                <w:sz w:val="22"/>
                <w:szCs w:val="22"/>
              </w:rPr>
              <w:t>for operational safety and soundness</w:t>
            </w:r>
            <w:r w:rsidR="00370A78" w:rsidRPr="002D20D8">
              <w:rPr>
                <w:rStyle w:val="End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F2489F" w:rsidRPr="002D20D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5"/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8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E1F" w:rsidRPr="002D20D8" w:rsidRDefault="007F1E1F" w:rsidP="006F7116">
            <w:pPr>
              <w:pStyle w:val="NormalWeb"/>
              <w:numPr>
                <w:ilvl w:val="0"/>
                <w:numId w:val="5"/>
              </w:numPr>
              <w:ind w:left="343" w:hanging="270"/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Insures deposits at the nation’s banks and savings associations</w:t>
            </w:r>
          </w:p>
          <w:p w:rsidR="0017640C" w:rsidRPr="002D20D8" w:rsidRDefault="007F1E1F" w:rsidP="0017640C">
            <w:pPr>
              <w:pStyle w:val="NormalWeb"/>
              <w:numPr>
                <w:ilvl w:val="0"/>
                <w:numId w:val="5"/>
              </w:numPr>
              <w:ind w:left="343" w:hanging="270"/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Promotes the safety and soundness of these institutions by identifying, monitoring and addressing risks they are exposed</w:t>
            </w:r>
            <w:r w:rsidR="00370A78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2D20D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  <w:p w:rsidR="0017640C" w:rsidRPr="002D20D8" w:rsidRDefault="002D20D8" w:rsidP="0017640C">
            <w:pPr>
              <w:pStyle w:val="NormalWeb"/>
              <w:numPr>
                <w:ilvl w:val="0"/>
                <w:numId w:val="5"/>
              </w:numPr>
              <w:ind w:left="343" w:hanging="270"/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Manages receiverships</w:t>
            </w:r>
            <w:r w:rsidR="00FA64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FFF">
              <w:rPr>
                <w:rFonts w:ascii="Arial" w:hAnsi="Arial" w:cs="Arial"/>
                <w:sz w:val="22"/>
                <w:szCs w:val="22"/>
              </w:rPr>
              <w:t>(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>failed bank resolutions</w:t>
            </w:r>
            <w:r w:rsidR="00A51FFF">
              <w:rPr>
                <w:rFonts w:ascii="Arial" w:hAnsi="Arial" w:cs="Arial"/>
                <w:sz w:val="22"/>
                <w:szCs w:val="22"/>
              </w:rPr>
              <w:t>)</w:t>
            </w:r>
            <w:r w:rsidR="00370A78">
              <w:rPr>
                <w:rFonts w:ascii="Arial" w:hAnsi="Arial" w:cs="Arial"/>
                <w:sz w:val="22"/>
                <w:szCs w:val="22"/>
              </w:rPr>
              <w:t>,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 xml:space="preserve"> which are akin to liquidations and resolutions of C</w:t>
            </w:r>
            <w:r w:rsidR="00370A78">
              <w:rPr>
                <w:rFonts w:ascii="Arial" w:hAnsi="Arial" w:cs="Arial"/>
                <w:sz w:val="22"/>
                <w:szCs w:val="22"/>
              </w:rPr>
              <w:t xml:space="preserve">o-operative Financial Institutions and Systematically Important Financial Institutions 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70A78">
              <w:rPr>
                <w:rFonts w:ascii="Arial" w:hAnsi="Arial" w:cs="Arial"/>
                <w:sz w:val="22"/>
                <w:szCs w:val="22"/>
              </w:rPr>
              <w:t>those that are “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>too big to fail”)</w:t>
            </w:r>
            <w:r w:rsidR="00FA6420">
              <w:rPr>
                <w:rFonts w:ascii="Arial" w:hAnsi="Arial" w:cs="Arial"/>
                <w:sz w:val="22"/>
                <w:szCs w:val="22"/>
              </w:rPr>
              <w:t>,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 xml:space="preserve"> whereby the bank is kept open and run by an FDIC</w:t>
            </w:r>
            <w:r w:rsidR="00FA6420">
              <w:rPr>
                <w:rFonts w:ascii="Arial" w:hAnsi="Arial" w:cs="Arial"/>
                <w:sz w:val="22"/>
                <w:szCs w:val="22"/>
              </w:rPr>
              <w:t>-</w:t>
            </w:r>
            <w:r w:rsidR="0017640C" w:rsidRPr="002D20D8">
              <w:rPr>
                <w:rFonts w:ascii="Arial" w:hAnsi="Arial" w:cs="Arial"/>
                <w:sz w:val="22"/>
                <w:szCs w:val="22"/>
              </w:rPr>
              <w:t>appointed team</w:t>
            </w:r>
          </w:p>
          <w:p w:rsidR="00EC2C24" w:rsidRPr="002D20D8" w:rsidRDefault="0017640C" w:rsidP="0017640C">
            <w:pPr>
              <w:pStyle w:val="NormalWeb"/>
              <w:numPr>
                <w:ilvl w:val="0"/>
                <w:numId w:val="5"/>
              </w:numPr>
              <w:ind w:left="343" w:hanging="270"/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Coordinates on regulation with the Securities and Exchange Commission and the Office of the Comptroller of the Currency</w:t>
            </w:r>
            <w:r w:rsidRPr="002D20D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2D20D8" w:rsidRPr="002D20D8" w:rsidTr="00EC2C2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C2C24" w:rsidRPr="002D20D8" w:rsidRDefault="00EC2C24" w:rsidP="00FC0FC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2D20D8" w:rsidRPr="002D20D8" w:rsidTr="00EC2C24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502E" w:rsidRPr="002D20D8" w:rsidRDefault="00386D4E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The board is composed of five m</w:t>
            </w:r>
            <w:r w:rsidR="00A568CC" w:rsidRPr="002D20D8">
              <w:rPr>
                <w:rFonts w:ascii="Arial" w:eastAsia="Calibri" w:hAnsi="Arial" w:cs="Arial"/>
                <w:bCs/>
                <w:sz w:val="22"/>
                <w:szCs w:val="22"/>
              </w:rPr>
              <w:t>embers, three appointed by the p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resident with the consent of the Sen</w:t>
            </w:r>
            <w:r w:rsidR="007A3090" w:rsidRPr="002D20D8">
              <w:rPr>
                <w:rFonts w:ascii="Arial" w:eastAsia="Calibri" w:hAnsi="Arial" w:cs="Arial"/>
                <w:bCs/>
                <w:sz w:val="22"/>
                <w:szCs w:val="22"/>
              </w:rPr>
              <w:t>ate and two ex officio members</w:t>
            </w:r>
          </w:p>
          <w:p w:rsidR="0017640C" w:rsidRPr="002D20D8" w:rsidRDefault="0017640C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No more than three members of the board may be of the same political affiliation</w:t>
            </w:r>
          </w:p>
          <w:p w:rsidR="0063502E" w:rsidRPr="002D20D8" w:rsidRDefault="00386D4E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The three appointed mem</w:t>
            </w:r>
            <w:r w:rsidR="007A3090" w:rsidRPr="002D20D8">
              <w:rPr>
                <w:rFonts w:ascii="Arial" w:eastAsia="Calibri" w:hAnsi="Arial" w:cs="Arial"/>
                <w:bCs/>
                <w:sz w:val="22"/>
                <w:szCs w:val="22"/>
              </w:rPr>
              <w:t>bers each serve six</w:t>
            </w:r>
            <w:r w:rsidR="00A51FFF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  <w:r w:rsidR="007A3090" w:rsidRPr="002D20D8">
              <w:rPr>
                <w:rFonts w:ascii="Arial" w:eastAsia="Calibri" w:hAnsi="Arial" w:cs="Arial"/>
                <w:bCs/>
                <w:sz w:val="22"/>
                <w:szCs w:val="22"/>
              </w:rPr>
              <w:t>year terms</w:t>
            </w:r>
            <w:r w:rsidR="00AA1F92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must have state bank supervisory experience</w:t>
            </w:r>
          </w:p>
          <w:p w:rsidR="00EC2C24" w:rsidRPr="002D20D8" w:rsidRDefault="007A3090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The p</w:t>
            </w:r>
            <w:r w:rsidR="0063502E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resident with the consent of the Senate </w:t>
            </w:r>
            <w:r w:rsidR="00386D4E" w:rsidRPr="002D20D8">
              <w:rPr>
                <w:rFonts w:ascii="Arial" w:eastAsia="Calibri" w:hAnsi="Arial" w:cs="Arial"/>
                <w:bCs/>
                <w:sz w:val="22"/>
                <w:szCs w:val="22"/>
              </w:rPr>
              <w:t>also designates one of the appointed me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mbers as c</w:t>
            </w:r>
            <w:r w:rsidR="0063502E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hairman of the </w:t>
            </w:r>
            <w:r w:rsidRPr="002D20D8">
              <w:rPr>
                <w:rFonts w:ascii="Arial" w:eastAsia="Calibri" w:hAnsi="Arial" w:cs="Arial"/>
                <w:bCs/>
                <w:sz w:val="22"/>
                <w:szCs w:val="22"/>
              </w:rPr>
              <w:t>b</w:t>
            </w:r>
            <w:r w:rsidR="0063502E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oard </w:t>
            </w:r>
            <w:r w:rsidR="00AA1F92" w:rsidRPr="002D20D8">
              <w:rPr>
                <w:rFonts w:ascii="Arial" w:eastAsia="Calibri" w:hAnsi="Arial" w:cs="Arial"/>
                <w:bCs/>
                <w:sz w:val="22"/>
                <w:szCs w:val="22"/>
              </w:rPr>
              <w:t>for a five-year term</w:t>
            </w:r>
            <w:r w:rsidR="00386D4E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one </w:t>
            </w:r>
            <w:r w:rsidR="0063502E" w:rsidRPr="002D20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as vice chairman </w:t>
            </w:r>
            <w:r w:rsidR="00AA1F92" w:rsidRPr="002D20D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(12 U.S.C. § 1812)</w:t>
            </w:r>
          </w:p>
          <w:p w:rsidR="0017640C" w:rsidRPr="002D20D8" w:rsidRDefault="0017640C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D20D8">
              <w:rPr>
                <w:rFonts w:ascii="Arial" w:hAnsi="Arial" w:cs="Arial"/>
                <w:bCs/>
                <w:sz w:val="22"/>
                <w:szCs w:val="22"/>
              </w:rPr>
              <w:t>Strong working k</w:t>
            </w:r>
            <w:r w:rsidR="002D20D8" w:rsidRPr="002D20D8">
              <w:rPr>
                <w:rFonts w:ascii="Arial" w:hAnsi="Arial" w:cs="Arial"/>
                <w:bCs/>
                <w:sz w:val="22"/>
                <w:szCs w:val="22"/>
              </w:rPr>
              <w:t>nowledge of finance, accounting</w:t>
            </w:r>
            <w:r w:rsidRPr="002D20D8">
              <w:rPr>
                <w:rFonts w:ascii="Arial" w:hAnsi="Arial" w:cs="Arial"/>
                <w:bCs/>
                <w:sz w:val="22"/>
                <w:szCs w:val="22"/>
              </w:rPr>
              <w:t xml:space="preserve"> and the American banking system</w:t>
            </w:r>
          </w:p>
          <w:p w:rsidR="0017640C" w:rsidRPr="002D20D8" w:rsidRDefault="0017640C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D20D8">
              <w:rPr>
                <w:rFonts w:ascii="Arial" w:hAnsi="Arial" w:cs="Arial"/>
                <w:bCs/>
                <w:sz w:val="22"/>
                <w:szCs w:val="22"/>
              </w:rPr>
              <w:t>Understanding of the structure and functioning of financial institutions and government financial regulation</w:t>
            </w:r>
          </w:p>
          <w:p w:rsidR="0017640C" w:rsidRPr="002D20D8" w:rsidRDefault="0017640C" w:rsidP="001764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D20D8">
              <w:rPr>
                <w:rFonts w:ascii="Arial" w:hAnsi="Arial" w:cs="Arial"/>
                <w:bCs/>
                <w:sz w:val="22"/>
                <w:szCs w:val="22"/>
              </w:rPr>
              <w:t>Background in professional financial institution regulation (a plus)</w:t>
            </w:r>
          </w:p>
        </w:tc>
      </w:tr>
      <w:tr w:rsidR="002D20D8" w:rsidRPr="002D20D8" w:rsidTr="002D20D8">
        <w:trPr>
          <w:trHeight w:val="32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EC2C24" w:rsidRPr="002D20D8" w:rsidRDefault="00EC2C24" w:rsidP="00EC2C2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40C" w:rsidRPr="002D20D8" w:rsidRDefault="0017640C" w:rsidP="002D20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3"/>
              <w:rPr>
                <w:rFonts w:ascii="Arial" w:hAnsi="Arial" w:cs="Arial"/>
                <w:sz w:val="22"/>
                <w:szCs w:val="22"/>
              </w:rPr>
            </w:pPr>
            <w:r w:rsidRPr="002D20D8">
              <w:rPr>
                <w:rFonts w:ascii="Arial" w:hAnsi="Arial" w:cs="Arial"/>
                <w:sz w:val="22"/>
                <w:szCs w:val="22"/>
              </w:rPr>
              <w:t>Chairman: Gravitas and ability to communicate to the public and the markets</w:t>
            </w:r>
            <w:r w:rsidR="002D20D8" w:rsidRPr="002D20D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2D20D8" w:rsidRPr="002D20D8" w:rsidTr="00EC2C24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EC2C24" w:rsidRPr="002D20D8" w:rsidRDefault="00EC2C24" w:rsidP="00EC2C2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2D20D8" w:rsidRPr="002D20D8" w:rsidTr="0052799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C24" w:rsidRPr="002D20D8" w:rsidRDefault="005326EB" w:rsidP="007A309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Martin J. Gruenberg (2011 to 2017): V</w:t>
            </w:r>
            <w:r w:rsidR="007A3090" w:rsidRPr="002D20D8">
              <w:rPr>
                <w:rFonts w:ascii="Arial" w:eastAsia="Calibri" w:hAnsi="Arial" w:cs="Arial"/>
                <w:sz w:val="22"/>
                <w:szCs w:val="22"/>
              </w:rPr>
              <w:t xml:space="preserve">ice Chairman, </w:t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>FDIC Board; Senior Counsel to Senator Sarbanes;</w:t>
            </w:r>
            <w:r w:rsidR="007A3090" w:rsidRPr="002D20D8">
              <w:rPr>
                <w:rFonts w:ascii="Arial" w:hAnsi="Arial" w:cs="Arial"/>
                <w:sz w:val="22"/>
                <w:szCs w:val="22"/>
              </w:rPr>
              <w:t xml:space="preserve"> Staff Director, Subcommittee on International Finance and Monetary Policy, Banking Committee</w:t>
            </w:r>
            <w:r w:rsidRPr="002D20D8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</w:p>
        </w:tc>
      </w:tr>
      <w:tr w:rsidR="002D20D8" w:rsidRPr="002D20D8" w:rsidTr="00527991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2C24" w:rsidRPr="002D20D8" w:rsidRDefault="00114E8D" w:rsidP="007A309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>Sheila Bair (2006 to 2011</w:t>
            </w:r>
            <w:r w:rsidR="00EC2C24" w:rsidRPr="002D20D8">
              <w:rPr>
                <w:rFonts w:ascii="Arial" w:eastAsia="Calibri" w:hAnsi="Arial" w:cs="Arial"/>
                <w:sz w:val="22"/>
                <w:szCs w:val="22"/>
              </w:rPr>
              <w:t xml:space="preserve">): </w:t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>Assistant Secretary for Fin</w:t>
            </w:r>
            <w:r w:rsidR="007A3090" w:rsidRPr="002D20D8">
              <w:rPr>
                <w:rFonts w:ascii="Arial" w:eastAsia="Calibri" w:hAnsi="Arial" w:cs="Arial"/>
                <w:sz w:val="22"/>
                <w:szCs w:val="22"/>
              </w:rPr>
              <w:t xml:space="preserve">ancial Institutions, Department of the </w:t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>Treasury; V</w:t>
            </w:r>
            <w:r w:rsidR="007A3090" w:rsidRPr="002D20D8">
              <w:rPr>
                <w:rFonts w:ascii="Arial" w:eastAsia="Calibri" w:hAnsi="Arial" w:cs="Arial"/>
                <w:sz w:val="22"/>
                <w:szCs w:val="22"/>
              </w:rPr>
              <w:t xml:space="preserve">ice President, NYSE; Commissioner, </w:t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>CFTC</w:t>
            </w:r>
            <w:r w:rsidRPr="002D20D8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0"/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</w:tr>
      <w:tr w:rsidR="002D20D8" w:rsidRPr="002D20D8" w:rsidTr="00527991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4" w:rsidRPr="002D20D8" w:rsidRDefault="005326EB" w:rsidP="00FC379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0D8">
              <w:rPr>
                <w:rFonts w:ascii="Arial" w:eastAsia="Calibri" w:hAnsi="Arial" w:cs="Arial"/>
                <w:sz w:val="22"/>
                <w:szCs w:val="22"/>
              </w:rPr>
              <w:t xml:space="preserve">John M. Reich (2000 to 2006): </w:t>
            </w:r>
            <w:r w:rsidR="00FC379B" w:rsidRPr="002D20D8">
              <w:rPr>
                <w:rFonts w:ascii="Arial" w:eastAsia="Calibri" w:hAnsi="Arial" w:cs="Arial"/>
                <w:sz w:val="22"/>
                <w:szCs w:val="22"/>
              </w:rPr>
              <w:t xml:space="preserve">Vice Chairman, </w:t>
            </w:r>
            <w:r w:rsidR="008605E5" w:rsidRPr="002D20D8">
              <w:rPr>
                <w:rFonts w:ascii="Arial" w:eastAsia="Calibri" w:hAnsi="Arial" w:cs="Arial"/>
                <w:sz w:val="22"/>
                <w:szCs w:val="22"/>
              </w:rPr>
              <w:t>Board of the FDIC</w:t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FC379B" w:rsidRPr="002D20D8">
              <w:rPr>
                <w:rFonts w:ascii="Arial" w:eastAsia="Calibri" w:hAnsi="Arial" w:cs="Arial"/>
                <w:sz w:val="22"/>
                <w:szCs w:val="22"/>
              </w:rPr>
              <w:t>Deputy Chairman,</w:t>
            </w:r>
            <w:r w:rsidR="008605E5" w:rsidRPr="002D20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C379B" w:rsidRPr="002D20D8">
              <w:rPr>
                <w:rFonts w:ascii="Arial" w:eastAsia="Calibri" w:hAnsi="Arial" w:cs="Arial"/>
                <w:sz w:val="22"/>
                <w:szCs w:val="22"/>
              </w:rPr>
              <w:t>Audit Committee, FDIC</w:t>
            </w:r>
            <w:r w:rsidRPr="002D20D8">
              <w:rPr>
                <w:rFonts w:ascii="Arial" w:eastAsia="Calibri" w:hAnsi="Arial" w:cs="Arial"/>
                <w:sz w:val="22"/>
                <w:szCs w:val="22"/>
              </w:rPr>
              <w:t xml:space="preserve">; </w:t>
            </w:r>
            <w:r w:rsidR="008605E5" w:rsidRPr="002D20D8">
              <w:rPr>
                <w:rFonts w:ascii="Arial" w:eastAsia="Calibri" w:hAnsi="Arial" w:cs="Arial"/>
                <w:sz w:val="22"/>
                <w:szCs w:val="22"/>
              </w:rPr>
              <w:t xml:space="preserve">Chief of Staff to Senator Connie Mack (R-FL); </w:t>
            </w:r>
            <w:r w:rsidR="00FC379B" w:rsidRPr="002D20D8">
              <w:rPr>
                <w:rFonts w:ascii="Arial" w:eastAsia="Calibri" w:hAnsi="Arial" w:cs="Arial"/>
                <w:sz w:val="22"/>
                <w:szCs w:val="22"/>
              </w:rPr>
              <w:t xml:space="preserve">President and CEO, </w:t>
            </w:r>
            <w:r w:rsidR="008605E5" w:rsidRPr="002D20D8">
              <w:rPr>
                <w:rFonts w:ascii="Arial" w:eastAsia="Calibri" w:hAnsi="Arial" w:cs="Arial"/>
                <w:sz w:val="22"/>
                <w:szCs w:val="22"/>
              </w:rPr>
              <w:t>National Bank of Sarasota</w:t>
            </w:r>
            <w:r w:rsidR="00D15987" w:rsidRPr="002D20D8">
              <w:rPr>
                <w:rStyle w:val="EndnoteReference"/>
                <w:rFonts w:ascii="Arial" w:eastAsia="Calibri" w:hAnsi="Arial" w:cs="Arial"/>
                <w:sz w:val="22"/>
                <w:szCs w:val="22"/>
              </w:rPr>
              <w:endnoteReference w:id="11"/>
            </w:r>
          </w:p>
        </w:tc>
      </w:tr>
      <w:bookmarkEnd w:id="0"/>
    </w:tbl>
    <w:p w:rsidR="00EC2C24" w:rsidRPr="00E35B11" w:rsidRDefault="00EC2C24" w:rsidP="002D20D8">
      <w:pPr>
        <w:spacing w:after="0" w:line="240" w:lineRule="auto"/>
        <w:rPr>
          <w:rFonts w:ascii="Arial" w:eastAsia="Calibri" w:hAnsi="Arial" w:cs="Arial"/>
        </w:rPr>
      </w:pPr>
    </w:p>
    <w:sectPr w:rsidR="00EC2C24" w:rsidRPr="00E35B11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07" w:rsidRDefault="00D60407" w:rsidP="00EC2C24">
      <w:pPr>
        <w:spacing w:after="0" w:line="240" w:lineRule="auto"/>
      </w:pPr>
      <w:r>
        <w:separator/>
      </w:r>
    </w:p>
  </w:endnote>
  <w:endnote w:type="continuationSeparator" w:id="0">
    <w:p w:rsidR="00D60407" w:rsidRDefault="00D60407" w:rsidP="00EC2C24">
      <w:pPr>
        <w:spacing w:after="0" w:line="240" w:lineRule="auto"/>
      </w:pPr>
      <w:r>
        <w:continuationSeparator/>
      </w:r>
    </w:p>
  </w:endnote>
  <w:endnote w:id="1">
    <w:p w:rsidR="0050176C" w:rsidRDefault="0050176C" w:rsidP="005017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C87C80">
          <w:rPr>
            <w:rStyle w:val="Hyperlink"/>
          </w:rPr>
          <w:t>https://www.fdic.gov/about/strategic/strategic/mission.html</w:t>
        </w:r>
      </w:hyperlink>
    </w:p>
  </w:endnote>
  <w:endnote w:id="2">
    <w:p w:rsidR="0050176C" w:rsidRDefault="0050176C" w:rsidP="0050176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C87C80">
          <w:rPr>
            <w:rStyle w:val="Hyperlink"/>
          </w:rPr>
          <w:t>https://www.fdic.gov/about/strategic/strategic/mission.html</w:t>
        </w:r>
      </w:hyperlink>
    </w:p>
  </w:endnote>
  <w:endnote w:id="3">
    <w:p w:rsidR="00EC2C24" w:rsidRDefault="00EC2C24" w:rsidP="00EC2C2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73F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E9023D" w:rsidRDefault="00E9023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5443B5">
          <w:rPr>
            <w:rStyle w:val="Hyperlink"/>
          </w:rPr>
          <w:t>https://www.fdic.gov/about/strategic/report/2015annualreport/section4-01.html</w:t>
        </w:r>
      </w:hyperlink>
    </w:p>
  </w:endnote>
  <w:endnote w:id="5">
    <w:p w:rsidR="00F2489F" w:rsidRDefault="00F2489F" w:rsidP="00F2489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FF212A">
          <w:rPr>
            <w:rStyle w:val="Hyperlink"/>
          </w:rPr>
          <w:t>https://www.fdic.gov/about/learn/symbol/index.html</w:t>
        </w:r>
      </w:hyperlink>
      <w:r>
        <w:t xml:space="preserve"> </w:t>
      </w:r>
    </w:p>
  </w:endnote>
  <w:endnote w:id="6">
    <w:p w:rsidR="007F1E1F" w:rsidRDefault="007F1E1F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:rsidR="0017640C" w:rsidRDefault="0017640C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8">
    <w:p w:rsidR="002D20D8" w:rsidRDefault="002D20D8">
      <w:pPr>
        <w:pStyle w:val="EndnoteText"/>
      </w:pPr>
      <w:r>
        <w:rPr>
          <w:rStyle w:val="EndnoteReference"/>
        </w:rPr>
        <w:endnoteRef/>
      </w:r>
      <w:r>
        <w:t xml:space="preserve"> Romney Readiness Project position description</w:t>
      </w:r>
    </w:p>
  </w:endnote>
  <w:endnote w:id="9">
    <w:p w:rsidR="005326EB" w:rsidRDefault="005326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26EB">
        <w:t>https://www.fdic.gov/about/learn/board/gruenberg/index.html</w:t>
      </w:r>
    </w:p>
  </w:endnote>
  <w:endnote w:id="10">
    <w:p w:rsidR="00114E8D" w:rsidRDefault="00114E8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64949">
        <w:t>Romney Readiness Project position description</w:t>
      </w:r>
    </w:p>
  </w:endnote>
  <w:endnote w:id="11">
    <w:p w:rsidR="00D15987" w:rsidRDefault="00D1598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15987">
        <w:t>http://www.bizjournals.com/washington/stories/2009/02/09/daily83.html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115A5C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0373F5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115A5C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BD1BDE5" wp14:editId="586ECE1C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0373F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115A5C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0373F5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115A5C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0373F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07" w:rsidRDefault="00D60407" w:rsidP="00EC2C24">
      <w:pPr>
        <w:spacing w:after="0" w:line="240" w:lineRule="auto"/>
      </w:pPr>
      <w:r>
        <w:separator/>
      </w:r>
    </w:p>
  </w:footnote>
  <w:footnote w:type="continuationSeparator" w:id="0">
    <w:p w:rsidR="00D60407" w:rsidRDefault="00D60407" w:rsidP="00EC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373F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35B11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0373F5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0373F5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071E35"/>
    <w:multiLevelType w:val="multilevel"/>
    <w:tmpl w:val="2C8EAA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C5F7D"/>
    <w:multiLevelType w:val="hybridMultilevel"/>
    <w:tmpl w:val="11FE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2317"/>
    <w:multiLevelType w:val="hybridMultilevel"/>
    <w:tmpl w:val="A490A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65259"/>
    <w:multiLevelType w:val="hybridMultilevel"/>
    <w:tmpl w:val="F1D654E0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" w15:restartNumberingAfterBreak="0">
    <w:nsid w:val="5BC30C54"/>
    <w:multiLevelType w:val="multilevel"/>
    <w:tmpl w:val="63F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54135"/>
    <w:multiLevelType w:val="hybridMultilevel"/>
    <w:tmpl w:val="FAF8ABD0"/>
    <w:lvl w:ilvl="0" w:tplc="E44C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CA1"/>
    <w:multiLevelType w:val="hybridMultilevel"/>
    <w:tmpl w:val="3E50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24"/>
    <w:rsid w:val="0002632D"/>
    <w:rsid w:val="000373F5"/>
    <w:rsid w:val="000403C0"/>
    <w:rsid w:val="0006016B"/>
    <w:rsid w:val="000808E0"/>
    <w:rsid w:val="00114E8D"/>
    <w:rsid w:val="00115A5C"/>
    <w:rsid w:val="001243C2"/>
    <w:rsid w:val="0017640C"/>
    <w:rsid w:val="00176542"/>
    <w:rsid w:val="002D20D8"/>
    <w:rsid w:val="00370A78"/>
    <w:rsid w:val="00386D4E"/>
    <w:rsid w:val="003D1A65"/>
    <w:rsid w:val="003D277F"/>
    <w:rsid w:val="004053D1"/>
    <w:rsid w:val="0050176C"/>
    <w:rsid w:val="005326EB"/>
    <w:rsid w:val="005469C1"/>
    <w:rsid w:val="00615A53"/>
    <w:rsid w:val="0063502E"/>
    <w:rsid w:val="00640EF3"/>
    <w:rsid w:val="006F7116"/>
    <w:rsid w:val="007A3090"/>
    <w:rsid w:val="007B42EA"/>
    <w:rsid w:val="007C2AB6"/>
    <w:rsid w:val="007E7C14"/>
    <w:rsid w:val="007F1E1F"/>
    <w:rsid w:val="008605E5"/>
    <w:rsid w:val="008831B3"/>
    <w:rsid w:val="008B0AF9"/>
    <w:rsid w:val="009C6A15"/>
    <w:rsid w:val="00A063D6"/>
    <w:rsid w:val="00A06657"/>
    <w:rsid w:val="00A51FFF"/>
    <w:rsid w:val="00A568CC"/>
    <w:rsid w:val="00AA1F92"/>
    <w:rsid w:val="00B0022F"/>
    <w:rsid w:val="00B33469"/>
    <w:rsid w:val="00C34DD2"/>
    <w:rsid w:val="00C629AA"/>
    <w:rsid w:val="00C77697"/>
    <w:rsid w:val="00D12961"/>
    <w:rsid w:val="00D15987"/>
    <w:rsid w:val="00D60407"/>
    <w:rsid w:val="00D64949"/>
    <w:rsid w:val="00D97140"/>
    <w:rsid w:val="00E35B11"/>
    <w:rsid w:val="00E76FBB"/>
    <w:rsid w:val="00E9023D"/>
    <w:rsid w:val="00EB3695"/>
    <w:rsid w:val="00EC2C24"/>
    <w:rsid w:val="00F2489F"/>
    <w:rsid w:val="00F303B3"/>
    <w:rsid w:val="00FA6420"/>
    <w:rsid w:val="00FC0FCA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F7FBA0F-5132-4B86-AD27-7B8BC8CB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2C2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C2C2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EC2C2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EC2C24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EC2C24"/>
  </w:style>
  <w:style w:type="table" w:styleId="TableGrid">
    <w:name w:val="Table Grid"/>
    <w:aliases w:val="Clutch Table"/>
    <w:basedOn w:val="TableNormal"/>
    <w:uiPriority w:val="59"/>
    <w:rsid w:val="00EC2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EC2C24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EC2C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2C24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EC2C2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49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0176C"/>
    <w:rPr>
      <w:color w:val="5B9BD5" w:themeColor="accent1"/>
      <w:u w:val="none"/>
    </w:rPr>
  </w:style>
  <w:style w:type="character" w:styleId="CommentReference">
    <w:name w:val="annotation reference"/>
    <w:basedOn w:val="DefaultParagraphFont"/>
    <w:uiPriority w:val="99"/>
    <w:unhideWhenUsed/>
    <w:rsid w:val="00176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F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dic.gov/about/strategic/report/2015annualreport/section4-01.html" TargetMode="External"/><Relationship Id="rId2" Type="http://schemas.openxmlformats.org/officeDocument/2006/relationships/hyperlink" Target="https://www.fdic.gov/about/strategic/strategic/mission.html" TargetMode="External"/><Relationship Id="rId1" Type="http://schemas.openxmlformats.org/officeDocument/2006/relationships/hyperlink" Target="https://www.fdic.gov/about/strategic/strategic/mission.html" TargetMode="External"/><Relationship Id="rId4" Type="http://schemas.openxmlformats.org/officeDocument/2006/relationships/hyperlink" Target="https://www.fdic.gov/about/learn/symbol/index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AC31F-D275-4202-ABF0-BFA01BEE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4</cp:revision>
  <cp:lastPrinted>2017-05-02T16:04:00Z</cp:lastPrinted>
  <dcterms:created xsi:type="dcterms:W3CDTF">2017-06-07T00:44:00Z</dcterms:created>
  <dcterms:modified xsi:type="dcterms:W3CDTF">2017-08-23T20:04:00Z</dcterms:modified>
</cp:coreProperties>
</file>