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5206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52065">
        <w:rPr>
          <w:rFonts w:asciiTheme="majorHAnsi" w:hAnsiTheme="majorHAnsi" w:cstheme="majorHAnsi"/>
          <w:color w:val="000000"/>
          <w:szCs w:val="26"/>
        </w:rPr>
        <w:t>Assistant Administrator (Environmental Information)</w:t>
      </w:r>
      <w:r w:rsidRPr="00D52065">
        <w:rPr>
          <w:rFonts w:asciiTheme="majorHAnsi" w:hAnsiTheme="majorHAnsi" w:cstheme="majorHAnsi"/>
          <w:szCs w:val="26"/>
        </w:rPr>
        <w:t>,</w:t>
      </w:r>
      <w:r>
        <w:rPr>
          <w:rFonts w:asciiTheme="majorHAnsi" w:hAnsiTheme="majorHAnsi" w:cstheme="majorHAnsi"/>
          <w:szCs w:val="26"/>
        </w:rPr>
        <w:t xml:space="preserve"> 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E606E9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52065" w:rsidP="00D33A2A">
            <w:pPr>
              <w:rPr>
                <w:rFonts w:asciiTheme="majorHAnsi" w:hAnsiTheme="majorHAnsi" w:cstheme="majorHAnsi"/>
              </w:rPr>
            </w:pPr>
            <w:r w:rsidRPr="009E1B63">
              <w:rPr>
                <w:rFonts w:asciiTheme="majorHAnsi" w:hAnsiTheme="majorHAnsi" w:cstheme="majorHAnsi"/>
                <w:bCs/>
                <w:lang w:val="en"/>
              </w:rPr>
              <w:t>To protect h</w:t>
            </w:r>
            <w:r w:rsidR="004943BC">
              <w:rPr>
                <w:rFonts w:asciiTheme="majorHAnsi" w:hAnsiTheme="majorHAnsi" w:cstheme="majorHAnsi"/>
                <w:bCs/>
                <w:lang w:val="en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C60D4" w:rsidP="00222D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administrator for environmental i</w:t>
            </w:r>
            <w:r w:rsidRPr="00BC60D4">
              <w:rPr>
                <w:rFonts w:asciiTheme="majorHAnsi" w:hAnsiTheme="majorHAnsi" w:cstheme="majorHAnsi"/>
              </w:rPr>
              <w:t>nformation supports the agency's mission by</w:t>
            </w:r>
            <w:r w:rsidR="00222D02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C60D4">
              <w:rPr>
                <w:rFonts w:asciiTheme="majorHAnsi" w:hAnsiTheme="majorHAnsi" w:cstheme="majorHAnsi"/>
              </w:rPr>
              <w:t xml:space="preserve">integrating environmental information decisions regarding </w:t>
            </w:r>
            <w:r>
              <w:rPr>
                <w:rFonts w:asciiTheme="majorHAnsi" w:hAnsiTheme="majorHAnsi" w:cstheme="majorHAnsi"/>
              </w:rPr>
              <w:t>improving information analyses</w:t>
            </w:r>
            <w:r w:rsidR="00222D02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C60D4">
              <w:rPr>
                <w:rFonts w:asciiTheme="majorHAnsi" w:hAnsiTheme="majorHAnsi" w:cstheme="majorHAnsi"/>
              </w:rPr>
              <w:t>documenting performance</w:t>
            </w:r>
            <w:r w:rsidR="00222D02">
              <w:rPr>
                <w:rFonts w:asciiTheme="majorHAnsi" w:hAnsiTheme="majorHAnsi" w:cstheme="majorHAnsi"/>
              </w:rPr>
              <w:t>;</w:t>
            </w:r>
            <w:r w:rsidRPr="00BC60D4">
              <w:rPr>
                <w:rFonts w:asciiTheme="majorHAnsi" w:hAnsiTheme="majorHAnsi" w:cstheme="majorHAnsi"/>
              </w:rPr>
              <w:t xml:space="preserve"> and measuring success</w:t>
            </w:r>
            <w:r w:rsidR="004943BC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3F298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3F2989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9357AD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Environmental Protection Agency </w:t>
            </w:r>
            <w:r w:rsidR="004943BC">
              <w:rPr>
                <w:rFonts w:asciiTheme="majorHAnsi" w:hAnsiTheme="majorHAnsi" w:cstheme="majorHAnsi"/>
              </w:rPr>
              <w:t xml:space="preserve">(EPA) </w:t>
            </w:r>
            <w:r>
              <w:rPr>
                <w:rFonts w:asciiTheme="majorHAnsi" w:hAnsiTheme="majorHAnsi" w:cstheme="majorHAnsi"/>
              </w:rPr>
              <w:t>Administrator</w:t>
            </w:r>
            <w:r>
              <w:rPr>
                <w:rStyle w:val="EndnoteReference"/>
                <w:rFonts w:asciiTheme="majorHAnsi" w:hAnsiTheme="majorHAnsi" w:cstheme="majorHAnsi"/>
              </w:rPr>
              <w:t xml:space="preserve"> 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77658E" w:rsidP="004943BC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In fiscal 2015, the assistant administrator for environmental i</w:t>
            </w:r>
            <w:r w:rsidRPr="00BC60D4">
              <w:rPr>
                <w:rFonts w:asciiTheme="majorHAnsi" w:hAnsiTheme="majorHAnsi" w:cstheme="majorHAnsi"/>
              </w:rPr>
              <w:t>nformation</w:t>
            </w:r>
            <w:r>
              <w:rPr>
                <w:rFonts w:asciiTheme="majorHAnsi" w:hAnsiTheme="majorHAnsi" w:cstheme="majorHAnsi"/>
              </w:rPr>
              <w:t xml:space="preserve"> managed an enacted budget of $153.617 million and oversaw 435 </w:t>
            </w:r>
            <w:r w:rsidR="004943BC">
              <w:rPr>
                <w:rFonts w:asciiTheme="majorHAnsi" w:hAnsiTheme="majorHAnsi" w:cstheme="majorHAnsi"/>
              </w:rPr>
              <w:t>full-time equivalents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D4" w:rsidRDefault="00BC60D4" w:rsidP="00BC60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Integrates</w:t>
            </w:r>
            <w:r w:rsidRPr="00BC60D4">
              <w:rPr>
                <w:rFonts w:asciiTheme="majorHAnsi" w:hAnsiTheme="majorHAnsi" w:cstheme="majorHAnsi"/>
              </w:rPr>
              <w:t xml:space="preserve"> environmental information decisions regarding improving information analyses, </w:t>
            </w:r>
            <w:r>
              <w:rPr>
                <w:rFonts w:asciiTheme="majorHAnsi" w:hAnsiTheme="majorHAnsi" w:cstheme="majorHAnsi"/>
              </w:rPr>
              <w:t>documents performance and measures</w:t>
            </w:r>
            <w:r w:rsidR="00803160">
              <w:rPr>
                <w:rFonts w:asciiTheme="majorHAnsi" w:hAnsiTheme="majorHAnsi" w:cstheme="majorHAnsi"/>
              </w:rPr>
              <w:t xml:space="preserve"> success</w:t>
            </w:r>
          </w:p>
          <w:p w:rsidR="0016537A" w:rsidRPr="00803160" w:rsidRDefault="00BC60D4" w:rsidP="00BC60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BC60D4">
              <w:rPr>
                <w:rFonts w:asciiTheme="majorHAnsi" w:hAnsiTheme="majorHAnsi" w:cstheme="majorHAnsi"/>
              </w:rPr>
              <w:t xml:space="preserve">stablishes and oversees information policies and procedures </w:t>
            </w:r>
            <w:r>
              <w:rPr>
                <w:rFonts w:asciiTheme="majorHAnsi" w:hAnsiTheme="majorHAnsi" w:cstheme="majorHAnsi"/>
              </w:rPr>
              <w:t>i</w:t>
            </w:r>
            <w:r w:rsidRPr="00BC60D4">
              <w:rPr>
                <w:rFonts w:asciiTheme="majorHAnsi" w:hAnsiTheme="majorHAnsi" w:cstheme="majorHAnsi"/>
              </w:rPr>
              <w:t xml:space="preserve">n consultation with internal and external stakeholders and partners to ensure the security of the agency's IT infrastructure and address the concerns of local, state and federal </w:t>
            </w:r>
            <w:r w:rsidRPr="00803160">
              <w:rPr>
                <w:rFonts w:asciiTheme="majorHAnsi" w:hAnsiTheme="majorHAnsi" w:cstheme="majorHAnsi"/>
              </w:rPr>
              <w:t>government; tribes; the regulated community; interest groups; the public</w:t>
            </w:r>
            <w:r w:rsidR="004943BC">
              <w:rPr>
                <w:rFonts w:asciiTheme="majorHAnsi" w:hAnsiTheme="majorHAnsi" w:cstheme="majorHAnsi"/>
              </w:rPr>
              <w:t>;</w:t>
            </w:r>
            <w:r w:rsidRPr="00803160">
              <w:rPr>
                <w:rFonts w:asciiTheme="majorHAnsi" w:hAnsiTheme="majorHAnsi" w:cstheme="majorHAnsi"/>
              </w:rPr>
              <w:t xml:space="preserve"> and agency managers</w:t>
            </w:r>
            <w:r w:rsidR="009357AD" w:rsidRPr="0080316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803160" w:rsidRPr="00803160" w:rsidRDefault="00803160" w:rsidP="00BC60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Identifies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and implement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innovative information technology and information management solutions that strengthen EPA'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 ability to achieve its goals</w:t>
            </w:r>
          </w:p>
          <w:p w:rsidR="00803160" w:rsidRPr="00803160" w:rsidRDefault="00803160" w:rsidP="00BC60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E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nsure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th</w:t>
            </w:r>
            <w:r w:rsidR="00060089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e quality of EPA's information</w:t>
            </w:r>
            <w:r w:rsidR="00222D02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,</w:t>
            </w:r>
            <w:r w:rsidR="00060089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and the efficiency and reliability of EPA's technology, </w:t>
            </w:r>
            <w:r w:rsidR="00060089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access service, and</w:t>
            </w:r>
            <w:r w:rsidR="00060089"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data collection and exchan</w:t>
            </w:r>
            <w:r w:rsidR="00060089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ge efforts</w:t>
            </w:r>
          </w:p>
          <w:p w:rsidR="00803160" w:rsidRPr="00BC60D4" w:rsidRDefault="00803160" w:rsidP="00BC60D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rovide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technology services and manage</w:t>
            </w:r>
            <w:r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</w:t>
            </w:r>
            <w:r w:rsidRPr="00803160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EPA’s IT investments</w:t>
            </w:r>
            <w:r w:rsidR="0074733E">
              <w:rPr>
                <w:rStyle w:val="EndnoteReference"/>
                <w:rFonts w:asciiTheme="majorHAnsi" w:hAnsiTheme="majorHAnsi" w:cstheme="majorHAnsi"/>
                <w:color w:val="212121"/>
                <w:shd w:val="clear" w:color="auto" w:fill="FFFFFF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4943BC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943BC" w:rsidRPr="00D56177" w:rsidRDefault="004943BC" w:rsidP="004943BC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C" w:rsidRPr="00746AF5" w:rsidRDefault="00222D02" w:rsidP="004943B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="004943BC" w:rsidRPr="007812C9">
              <w:rPr>
                <w:rFonts w:asciiTheme="majorHAnsi" w:hAnsiTheme="majorHAnsi" w:cstheme="majorHAnsi"/>
                <w:color w:val="000000"/>
              </w:rPr>
              <w:t>ffective manager</w:t>
            </w:r>
            <w:r>
              <w:rPr>
                <w:rFonts w:asciiTheme="majorHAnsi" w:hAnsiTheme="majorHAnsi" w:cstheme="majorHAnsi"/>
                <w:color w:val="000000"/>
              </w:rPr>
              <w:t>, with t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rack record </w:t>
            </w:r>
            <w:r w:rsidR="004943BC" w:rsidRPr="007812C9">
              <w:rPr>
                <w:rFonts w:asciiTheme="majorHAnsi" w:hAnsiTheme="majorHAnsi" w:cstheme="majorHAnsi"/>
                <w:color w:val="000000"/>
              </w:rPr>
              <w:t>in a large and diverse organization</w:t>
            </w:r>
          </w:p>
          <w:p w:rsidR="00746AF5" w:rsidRPr="009E1B63" w:rsidRDefault="00746AF5" w:rsidP="00746AF5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 w:rsidRPr="009E1B63">
              <w:rPr>
                <w:rFonts w:asciiTheme="majorHAnsi" w:hAnsiTheme="majorHAnsi" w:cstheme="majorHAnsi"/>
              </w:rPr>
              <w:t>Understanding of core services, programs and initiatives delivered by the agency’s key departments</w:t>
            </w:r>
          </w:p>
          <w:p w:rsidR="00746AF5" w:rsidRDefault="00746AF5" w:rsidP="00746AF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with performance measurements, IT management and other functions of the office</w:t>
            </w:r>
          </w:p>
          <w:p w:rsidR="00746AF5" w:rsidRPr="004943BC" w:rsidRDefault="00746AF5" w:rsidP="00746AF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(helpful)</w:t>
            </w:r>
          </w:p>
        </w:tc>
      </w:tr>
      <w:tr w:rsidR="004943BC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4943BC" w:rsidRPr="00D56177" w:rsidRDefault="004943BC" w:rsidP="004943BC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AF5" w:rsidRPr="007F3DDB" w:rsidRDefault="00746AF5" w:rsidP="00746AF5">
            <w:pPr>
              <w:numPr>
                <w:ilvl w:val="0"/>
                <w:numId w:val="31"/>
              </w:num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Good</w:t>
            </w:r>
            <w:r w:rsidRPr="007F3DDB">
              <w:rPr>
                <w:rFonts w:asciiTheme="majorHAnsi" w:hAnsiTheme="majorHAnsi" w:cstheme="majorHAnsi"/>
              </w:rPr>
              <w:t xml:space="preserve"> communication and interpersonal skills</w:t>
            </w:r>
          </w:p>
          <w:p w:rsidR="004943BC" w:rsidRDefault="00746AF5" w:rsidP="00746AF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coordination skills and ability to work in a matrixed environment</w:t>
            </w:r>
          </w:p>
          <w:p w:rsidR="00746AF5" w:rsidRPr="00746AF5" w:rsidRDefault="00746AF5" w:rsidP="00746AF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01F99" w:rsidP="00BD3C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Malcolm D. Jackson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2010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Pr="00301F99">
              <w:rPr>
                <w:rFonts w:asciiTheme="majorHAnsi" w:hAnsiTheme="majorHAnsi" w:cstheme="majorHAnsi"/>
              </w:rPr>
              <w:t>Seni</w:t>
            </w:r>
            <w:r w:rsidR="00BD3CC2">
              <w:rPr>
                <w:rFonts w:asciiTheme="majorHAnsi" w:hAnsiTheme="majorHAnsi" w:cstheme="majorHAnsi"/>
              </w:rPr>
              <w:t xml:space="preserve">or IT Business Unit Director, </w:t>
            </w:r>
            <w:r w:rsidRPr="00301F99">
              <w:rPr>
                <w:rFonts w:asciiTheme="majorHAnsi" w:hAnsiTheme="majorHAnsi" w:cstheme="majorHAnsi"/>
              </w:rPr>
              <w:t>CIGNA Insurance Disability Management Business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301F99">
              <w:rPr>
                <w:rFonts w:asciiTheme="majorHAnsi" w:hAnsiTheme="majorHAnsi" w:cstheme="majorHAnsi"/>
              </w:rPr>
              <w:t>S</w:t>
            </w:r>
            <w:r w:rsidR="00BD3CC2">
              <w:rPr>
                <w:rFonts w:asciiTheme="majorHAnsi" w:hAnsiTheme="majorHAnsi" w:cstheme="majorHAnsi"/>
              </w:rPr>
              <w:t xml:space="preserve">enior IT Business Unit Director, </w:t>
            </w:r>
            <w:r w:rsidRPr="00301F99">
              <w:rPr>
                <w:rFonts w:asciiTheme="majorHAnsi" w:hAnsiTheme="majorHAnsi" w:cstheme="majorHAnsi"/>
              </w:rPr>
              <w:t>CIGNA Insurance Corporate Business Functions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>Director IT, Monsanto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301F99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01F99" w:rsidP="003D2F6A">
            <w:pPr>
              <w:rPr>
                <w:rFonts w:asciiTheme="majorHAnsi" w:hAnsiTheme="majorHAnsi" w:cstheme="majorHAnsi"/>
              </w:rPr>
            </w:pPr>
            <w:r w:rsidRPr="00301F99">
              <w:rPr>
                <w:rFonts w:asciiTheme="majorHAnsi" w:hAnsiTheme="majorHAnsi" w:cstheme="majorHAnsi"/>
              </w:rPr>
              <w:t xml:space="preserve">Molly A. O'Neill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303A83">
              <w:rPr>
                <w:rFonts w:asciiTheme="majorHAnsi" w:hAnsiTheme="majorHAnsi" w:cstheme="majorHAnsi"/>
              </w:rPr>
              <w:t>2007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3D2F6A">
              <w:rPr>
                <w:rFonts w:asciiTheme="majorHAnsi" w:hAnsiTheme="majorHAnsi" w:cstheme="majorHAnsi"/>
              </w:rPr>
              <w:t xml:space="preserve">State Director, </w:t>
            </w:r>
            <w:r w:rsidR="00303A83" w:rsidRPr="00303A83">
              <w:rPr>
                <w:rFonts w:asciiTheme="majorHAnsi" w:hAnsiTheme="majorHAnsi" w:cstheme="majorHAnsi"/>
              </w:rPr>
              <w:t>National Environmental Inform</w:t>
            </w:r>
            <w:r w:rsidR="003D2F6A">
              <w:rPr>
                <w:rFonts w:asciiTheme="majorHAnsi" w:hAnsiTheme="majorHAnsi" w:cstheme="majorHAnsi"/>
              </w:rPr>
              <w:t xml:space="preserve">ation Exchange Network, </w:t>
            </w:r>
            <w:r w:rsidR="00303A83" w:rsidRPr="00303A83">
              <w:rPr>
                <w:rFonts w:asciiTheme="majorHAnsi" w:hAnsiTheme="majorHAnsi" w:cstheme="majorHAnsi"/>
              </w:rPr>
              <w:t>Environmental Council of the States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303A83">
              <w:rPr>
                <w:rStyle w:val="EndnoteReference"/>
                <w:rFonts w:asciiTheme="majorHAnsi" w:hAnsiTheme="majorHAnsi" w:cstheme="majorHAnsi"/>
              </w:rPr>
              <w:endnoteReference w:id="7"/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303A83">
              <w:rPr>
                <w:rFonts w:asciiTheme="majorHAnsi" w:hAnsiTheme="majorHAnsi" w:cstheme="majorHAnsi"/>
              </w:rPr>
              <w:t>Principal, American Management Systems;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303A83">
              <w:rPr>
                <w:rFonts w:asciiTheme="majorHAnsi" w:hAnsiTheme="majorHAnsi" w:cstheme="majorHAnsi"/>
              </w:rPr>
              <w:t xml:space="preserve">Director, State Practice, </w:t>
            </w:r>
            <w:proofErr w:type="spellStart"/>
            <w:r w:rsidR="00303A83">
              <w:rPr>
                <w:rFonts w:asciiTheme="majorHAnsi" w:hAnsiTheme="majorHAnsi" w:cstheme="majorHAnsi"/>
              </w:rPr>
              <w:t>TechLaw</w:t>
            </w:r>
            <w:proofErr w:type="spellEnd"/>
            <w:r w:rsidR="00303A83">
              <w:rPr>
                <w:rFonts w:asciiTheme="majorHAnsi" w:hAnsiTheme="majorHAnsi" w:cstheme="majorHAnsi"/>
              </w:rPr>
              <w:t>, Inc.</w:t>
            </w:r>
            <w:r w:rsidR="00303A83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301F99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1F99" w:rsidRPr="00301F99" w:rsidRDefault="00301F99" w:rsidP="003D2F6A">
            <w:pPr>
              <w:rPr>
                <w:rFonts w:asciiTheme="majorHAnsi" w:hAnsiTheme="majorHAnsi" w:cstheme="majorHAnsi"/>
              </w:rPr>
            </w:pPr>
            <w:r w:rsidRPr="00301F99">
              <w:rPr>
                <w:rFonts w:asciiTheme="majorHAnsi" w:hAnsiTheme="majorHAnsi" w:cstheme="majorHAnsi"/>
              </w:rPr>
              <w:t xml:space="preserve">Kimberly </w:t>
            </w:r>
            <w:proofErr w:type="spellStart"/>
            <w:r w:rsidRPr="00301F99">
              <w:rPr>
                <w:rFonts w:asciiTheme="majorHAnsi" w:hAnsiTheme="majorHAnsi" w:cstheme="majorHAnsi"/>
              </w:rPr>
              <w:t>Terese</w:t>
            </w:r>
            <w:proofErr w:type="spellEnd"/>
            <w:r w:rsidRPr="00301F99">
              <w:rPr>
                <w:rFonts w:asciiTheme="majorHAnsi" w:hAnsiTheme="majorHAnsi" w:cstheme="majorHAnsi"/>
              </w:rPr>
              <w:t xml:space="preserve"> Nelson</w:t>
            </w:r>
            <w:r>
              <w:rPr>
                <w:rFonts w:asciiTheme="majorHAnsi" w:hAnsiTheme="majorHAnsi" w:cstheme="majorHAnsi"/>
              </w:rPr>
              <w:t xml:space="preserve"> (2001</w:t>
            </w:r>
            <w:r w:rsidR="003D2F6A">
              <w:rPr>
                <w:rFonts w:asciiTheme="majorHAnsi" w:hAnsiTheme="majorHAnsi" w:cstheme="majorHAnsi"/>
              </w:rPr>
              <w:t xml:space="preserve"> to 2005</w:t>
            </w:r>
            <w:r>
              <w:rPr>
                <w:rFonts w:asciiTheme="majorHAnsi" w:hAnsiTheme="majorHAnsi" w:cstheme="majorHAnsi"/>
              </w:rPr>
              <w:t>):</w:t>
            </w:r>
            <w:r w:rsidR="003D2F6A">
              <w:rPr>
                <w:rFonts w:asciiTheme="majorHAnsi" w:hAnsiTheme="majorHAnsi" w:cstheme="majorHAnsi"/>
              </w:rPr>
              <w:t xml:space="preserve"> Director, Program Integration and E</w:t>
            </w:r>
            <w:r w:rsidR="003D2F6A" w:rsidRPr="003D2F6A">
              <w:rPr>
                <w:rFonts w:asciiTheme="majorHAnsi" w:hAnsiTheme="majorHAnsi" w:cstheme="majorHAnsi"/>
              </w:rPr>
              <w:t>ffectiveness</w:t>
            </w:r>
            <w:r w:rsidR="003D2F6A">
              <w:rPr>
                <w:rFonts w:asciiTheme="majorHAnsi" w:hAnsiTheme="majorHAnsi" w:cstheme="majorHAnsi"/>
              </w:rPr>
              <w:t xml:space="preserve">, </w:t>
            </w:r>
            <w:r w:rsidR="003D2F6A" w:rsidRPr="003D2F6A">
              <w:rPr>
                <w:rFonts w:asciiTheme="majorHAnsi" w:hAnsiTheme="majorHAnsi" w:cstheme="majorHAnsi"/>
              </w:rPr>
              <w:t>Pennsylvania Department</w:t>
            </w:r>
            <w:r w:rsidR="007D2B2D">
              <w:rPr>
                <w:rFonts w:asciiTheme="majorHAnsi" w:hAnsiTheme="majorHAnsi" w:cstheme="majorHAnsi"/>
              </w:rPr>
              <w:t xml:space="preserve"> of</w:t>
            </w:r>
            <w:r w:rsidR="003D2F6A" w:rsidRPr="003D2F6A">
              <w:rPr>
                <w:rFonts w:asciiTheme="majorHAnsi" w:hAnsiTheme="majorHAnsi" w:cstheme="majorHAnsi"/>
              </w:rPr>
              <w:t xml:space="preserve"> Environmental Protection</w:t>
            </w:r>
            <w:r w:rsidR="003D2F6A">
              <w:rPr>
                <w:rFonts w:asciiTheme="majorHAnsi" w:hAnsiTheme="majorHAnsi" w:cstheme="majorHAnsi"/>
              </w:rPr>
              <w:t>; Special Assistant to the S</w:t>
            </w:r>
            <w:r w:rsidR="003D2F6A" w:rsidRPr="003D2F6A">
              <w:rPr>
                <w:rFonts w:asciiTheme="majorHAnsi" w:hAnsiTheme="majorHAnsi" w:cstheme="majorHAnsi"/>
              </w:rPr>
              <w:t>ecretary,</w:t>
            </w:r>
            <w:r w:rsidR="003D2F6A">
              <w:rPr>
                <w:rFonts w:asciiTheme="majorHAnsi" w:hAnsiTheme="majorHAnsi" w:cstheme="majorHAnsi"/>
              </w:rPr>
              <w:t xml:space="preserve"> </w:t>
            </w:r>
            <w:r w:rsidR="003D2F6A" w:rsidRPr="003D2F6A">
              <w:rPr>
                <w:rFonts w:asciiTheme="majorHAnsi" w:hAnsiTheme="majorHAnsi" w:cstheme="majorHAnsi"/>
              </w:rPr>
              <w:t>Pennsylvania Department</w:t>
            </w:r>
            <w:r w:rsidR="007D2B2D">
              <w:rPr>
                <w:rFonts w:asciiTheme="majorHAnsi" w:hAnsiTheme="majorHAnsi" w:cstheme="majorHAnsi"/>
              </w:rPr>
              <w:t xml:space="preserve"> of</w:t>
            </w:r>
            <w:r w:rsidR="003D2F6A" w:rsidRPr="003D2F6A">
              <w:rPr>
                <w:rFonts w:asciiTheme="majorHAnsi" w:hAnsiTheme="majorHAnsi" w:cstheme="majorHAnsi"/>
              </w:rPr>
              <w:t xml:space="preserve"> Environmental Resources</w:t>
            </w:r>
            <w:r w:rsidR="003D2F6A">
              <w:rPr>
                <w:rFonts w:asciiTheme="majorHAnsi" w:hAnsiTheme="majorHAnsi" w:cstheme="majorHAnsi"/>
              </w:rPr>
              <w:t>; Special A</w:t>
            </w:r>
            <w:r w:rsidR="003D2F6A" w:rsidRPr="003D2F6A">
              <w:rPr>
                <w:rFonts w:asciiTheme="majorHAnsi" w:hAnsiTheme="majorHAnsi" w:cstheme="majorHAnsi"/>
              </w:rPr>
              <w:t xml:space="preserve">ssistant to </w:t>
            </w:r>
            <w:r w:rsidR="003D2F6A">
              <w:rPr>
                <w:rFonts w:asciiTheme="majorHAnsi" w:hAnsiTheme="majorHAnsi" w:cstheme="majorHAnsi"/>
              </w:rPr>
              <w:t xml:space="preserve">the Deputy Secretary for Administration, </w:t>
            </w:r>
            <w:r w:rsidR="003D2F6A" w:rsidRPr="003D2F6A">
              <w:rPr>
                <w:rFonts w:asciiTheme="majorHAnsi" w:hAnsiTheme="majorHAnsi" w:cstheme="majorHAnsi"/>
              </w:rPr>
              <w:t xml:space="preserve">Pennsylvania Department </w:t>
            </w:r>
            <w:r w:rsidR="007D2B2D">
              <w:rPr>
                <w:rFonts w:asciiTheme="majorHAnsi" w:hAnsiTheme="majorHAnsi" w:cstheme="majorHAnsi"/>
              </w:rPr>
              <w:t xml:space="preserve">of </w:t>
            </w:r>
            <w:r w:rsidR="003D2F6A" w:rsidRPr="003D2F6A">
              <w:rPr>
                <w:rFonts w:asciiTheme="majorHAnsi" w:hAnsiTheme="majorHAnsi" w:cstheme="majorHAnsi"/>
              </w:rPr>
              <w:t>Environmental Resources</w:t>
            </w:r>
            <w:r w:rsidR="003D2F6A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17" w:rsidRDefault="00E25417" w:rsidP="001E22F1">
      <w:r>
        <w:separator/>
      </w:r>
    </w:p>
  </w:endnote>
  <w:endnote w:type="continuationSeparator" w:id="0">
    <w:p w:rsidR="00E25417" w:rsidRDefault="00E25417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F298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357AD" w:rsidRDefault="009357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56163">
        <w:t>https://www.epa.gov/aboutepa/epa-organization-chart</w:t>
      </w:r>
    </w:p>
  </w:endnote>
  <w:endnote w:id="3">
    <w:p w:rsidR="0077658E" w:rsidRDefault="0077658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7658E">
        <w:t>https://www.epa.gov/sites/production/files/2015-02/documents/epa_fy_2016_congressional_justification.pdf</w:t>
      </w:r>
    </w:p>
  </w:endnote>
  <w:endnote w:id="4">
    <w:p w:rsidR="009357AD" w:rsidRDefault="009357A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74733E" w:rsidRDefault="007473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4733E">
        <w:t>https://www.epa.gov/aboutepa/about-office-environmental-information-oei</w:t>
      </w:r>
    </w:p>
  </w:endnote>
  <w:endnote w:id="6">
    <w:p w:rsidR="00301F99" w:rsidRDefault="00301F9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1F99">
        <w:t>https://cio.gov/contributor/malcolm-d-jackson/</w:t>
      </w:r>
    </w:p>
  </w:endnote>
  <w:endnote w:id="7">
    <w:p w:rsidR="00303A83" w:rsidRDefault="00303A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3A83">
        <w:t>http://www.prnewswire.com/news-releases/cgi-hires-former-chief-information-officer-us-environmental-protection-agency-molly-oneill-62203477.html</w:t>
      </w:r>
    </w:p>
  </w:endnote>
  <w:endnote w:id="8">
    <w:p w:rsidR="00303A83" w:rsidRDefault="00303A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3A83">
        <w:t>https://www.linkedin.com/in/molly-o-neill-295673a/</w:t>
      </w:r>
    </w:p>
  </w:endnote>
  <w:endnote w:id="9">
    <w:p w:rsidR="003D2F6A" w:rsidRDefault="003D2F6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D2F6A">
        <w:t>http://prabook.com/web/person-view.html?profileId=1458793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17" w:rsidRDefault="00E25417" w:rsidP="001E22F1">
      <w:r>
        <w:separator/>
      </w:r>
    </w:p>
  </w:footnote>
  <w:footnote w:type="continuationSeparator" w:id="0">
    <w:p w:rsidR="00E25417" w:rsidRDefault="00E2541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3F298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39D1"/>
    <w:multiLevelType w:val="hybridMultilevel"/>
    <w:tmpl w:val="9FD6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8D70A8E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6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0089"/>
    <w:rsid w:val="0006011E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2CA6"/>
    <w:rsid w:val="00205DE4"/>
    <w:rsid w:val="00207063"/>
    <w:rsid w:val="00220C28"/>
    <w:rsid w:val="00220D75"/>
    <w:rsid w:val="0022173F"/>
    <w:rsid w:val="00221F98"/>
    <w:rsid w:val="00222732"/>
    <w:rsid w:val="00222D0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1F99"/>
    <w:rsid w:val="00303A83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2F6A"/>
    <w:rsid w:val="003D4CCB"/>
    <w:rsid w:val="003D5759"/>
    <w:rsid w:val="003E45AC"/>
    <w:rsid w:val="003F2989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43BC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3EE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46AF5"/>
    <w:rsid w:val="0074733E"/>
    <w:rsid w:val="00756A61"/>
    <w:rsid w:val="00757BC3"/>
    <w:rsid w:val="00762481"/>
    <w:rsid w:val="0076444F"/>
    <w:rsid w:val="0077658E"/>
    <w:rsid w:val="007872BC"/>
    <w:rsid w:val="00790CC5"/>
    <w:rsid w:val="007A377A"/>
    <w:rsid w:val="007B1D32"/>
    <w:rsid w:val="007B6E3E"/>
    <w:rsid w:val="007C73DE"/>
    <w:rsid w:val="007D1AFF"/>
    <w:rsid w:val="007D2B2D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3160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357AD"/>
    <w:rsid w:val="0094517E"/>
    <w:rsid w:val="0095718F"/>
    <w:rsid w:val="00962B37"/>
    <w:rsid w:val="009630CC"/>
    <w:rsid w:val="0096330D"/>
    <w:rsid w:val="00963B16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184"/>
    <w:rsid w:val="009E586C"/>
    <w:rsid w:val="009F59E4"/>
    <w:rsid w:val="00A07E43"/>
    <w:rsid w:val="00A11046"/>
    <w:rsid w:val="00A15619"/>
    <w:rsid w:val="00A16B91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5E40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4327"/>
    <w:rsid w:val="00B761F1"/>
    <w:rsid w:val="00B8440A"/>
    <w:rsid w:val="00B85C44"/>
    <w:rsid w:val="00B8737B"/>
    <w:rsid w:val="00B92A39"/>
    <w:rsid w:val="00B97B34"/>
    <w:rsid w:val="00BA34BC"/>
    <w:rsid w:val="00BC1493"/>
    <w:rsid w:val="00BC60D4"/>
    <w:rsid w:val="00BC78FF"/>
    <w:rsid w:val="00BD0F2B"/>
    <w:rsid w:val="00BD29EF"/>
    <w:rsid w:val="00BD3CC2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065"/>
    <w:rsid w:val="00D56177"/>
    <w:rsid w:val="00D60729"/>
    <w:rsid w:val="00D66F40"/>
    <w:rsid w:val="00D713B7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5417"/>
    <w:rsid w:val="00E271FD"/>
    <w:rsid w:val="00E32003"/>
    <w:rsid w:val="00E36457"/>
    <w:rsid w:val="00E40457"/>
    <w:rsid w:val="00E47F45"/>
    <w:rsid w:val="00E549CF"/>
    <w:rsid w:val="00E562D0"/>
    <w:rsid w:val="00E606E9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701A8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8EB91B-FA0E-4AC0-A27C-58835234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2017-06-30T16:13:00Z</dcterms:created>
  <dcterms:modified xsi:type="dcterms:W3CDTF">2017-08-23T19:58:00Z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