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08225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Administrator of the </w:t>
      </w:r>
      <w:r w:rsidR="00EA599D">
        <w:rPr>
          <w:rFonts w:asciiTheme="majorHAnsi" w:hAnsiTheme="majorHAnsi" w:cstheme="majorHAnsi"/>
          <w:szCs w:val="26"/>
        </w:rPr>
        <w:t>Pipeline and hazardous materials safety administration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F61523" w:rsidRDefault="000E0157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 xml:space="preserve">Senate </w:t>
            </w:r>
            <w:r w:rsidR="00B92A39" w:rsidRPr="00F6152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F61523" w:rsidRDefault="006C753B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Commerce, Science</w:t>
            </w:r>
            <w:r w:rsidR="00F61523" w:rsidRPr="00F61523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3910F3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F61523" w:rsidRDefault="0008225A" w:rsidP="00D33A2A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To ensure a fast, safe, efficient, accessible and convenient transportation system that meets our vital national interests and enhances the quality of life of the American people, today and into the future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61523" w:rsidRDefault="003E640D" w:rsidP="00F61523">
            <w:pPr>
              <w:rPr>
                <w:rFonts w:asciiTheme="majorHAnsi" w:hAnsiTheme="majorHAnsi" w:cstheme="majorHAnsi"/>
              </w:rPr>
            </w:pPr>
            <w:r w:rsidRPr="003E640D">
              <w:rPr>
                <w:rFonts w:asciiTheme="majorHAnsi" w:hAnsiTheme="majorHAnsi" w:cstheme="majorHAnsi"/>
              </w:rPr>
              <w:t>The Pipeline and Hazardous Materials</w:t>
            </w:r>
            <w:r>
              <w:rPr>
                <w:rFonts w:asciiTheme="majorHAnsi" w:hAnsiTheme="majorHAnsi" w:cstheme="majorHAnsi"/>
              </w:rPr>
              <w:t xml:space="preserve"> Safety Administration (PHMSA) administrator represents the department and advises the s</w:t>
            </w:r>
            <w:r w:rsidRPr="003E640D">
              <w:rPr>
                <w:rFonts w:asciiTheme="majorHAnsi" w:hAnsiTheme="majorHAnsi" w:cstheme="majorHAnsi"/>
              </w:rPr>
              <w:t>ecretary on all matters pertainin</w:t>
            </w:r>
            <w:r>
              <w:rPr>
                <w:rFonts w:asciiTheme="majorHAnsi" w:hAnsiTheme="majorHAnsi" w:cstheme="majorHAnsi"/>
              </w:rPr>
              <w:t>g to PHMSA regulatory, research</w:t>
            </w:r>
            <w:r w:rsidRPr="003E640D">
              <w:rPr>
                <w:rFonts w:asciiTheme="majorHAnsi" w:hAnsiTheme="majorHAnsi" w:cstheme="majorHAnsi"/>
              </w:rPr>
              <w:t xml:space="preserve"> and other programs.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F6152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F6152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61523" w:rsidRDefault="003E715F" w:rsidP="00B70DE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B70DEB">
              <w:rPr>
                <w:rFonts w:asciiTheme="majorHAnsi" w:hAnsiTheme="majorHAnsi" w:cstheme="majorHAnsi"/>
                <w:bCs/>
              </w:rPr>
              <w:t>165,300</w:t>
            </w:r>
            <w:r w:rsidR="00220D75" w:rsidRPr="00F61523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B70DE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F61523" w:rsidRDefault="00847A61" w:rsidP="00D276D6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Secretary of Transportation</w:t>
            </w:r>
          </w:p>
        </w:tc>
      </w:tr>
      <w:tr w:rsidR="00661AE5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615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152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F61523" w:rsidRDefault="003E640D" w:rsidP="00BF0E0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PHMSA had a fiscal 2015 enacted budget of $244 million and</w:t>
            </w:r>
            <w:r w:rsidR="00BF0E0A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in fiscal 2016</w:t>
            </w:r>
            <w:r w:rsidR="00BF0E0A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had 541 full-time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permanent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AD7" w:rsidRPr="00095AD7" w:rsidRDefault="00095AD7" w:rsidP="00095AD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bookmarkStart w:id="2" w:name="e"/>
            <w:bookmarkEnd w:id="2"/>
            <w:r>
              <w:rPr>
                <w:rFonts w:asciiTheme="majorHAnsi" w:hAnsiTheme="majorHAnsi" w:cstheme="majorHAnsi"/>
              </w:rPr>
              <w:t xml:space="preserve">Carries out duties prescribed by the secretary </w:t>
            </w:r>
            <w:r>
              <w:rPr>
                <w:rFonts w:asciiTheme="majorHAnsi" w:hAnsiTheme="majorHAnsi" w:cstheme="majorHAnsi"/>
                <w:bCs/>
              </w:rPr>
              <w:t xml:space="preserve">(49 U.S.C. </w:t>
            </w:r>
            <w:r w:rsidRPr="003E640D">
              <w:rPr>
                <w:rFonts w:asciiTheme="majorHAnsi" w:hAnsiTheme="majorHAnsi" w:cstheme="majorHAnsi"/>
                <w:bCs/>
              </w:rPr>
              <w:t>§ 108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  <w:p w:rsidR="003E640D" w:rsidRDefault="003E640D" w:rsidP="00095AD7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3E640D">
              <w:rPr>
                <w:rFonts w:asciiTheme="majorHAnsi" w:hAnsiTheme="majorHAnsi" w:cstheme="majorHAnsi"/>
              </w:rPr>
              <w:t>rovides direction to the national program to protect against the risks to life and property inherent in transport</w:t>
            </w:r>
            <w:r w:rsidR="00BF0E0A">
              <w:rPr>
                <w:rFonts w:asciiTheme="majorHAnsi" w:hAnsiTheme="majorHAnsi" w:cstheme="majorHAnsi"/>
              </w:rPr>
              <w:t>ing</w:t>
            </w:r>
            <w:r w:rsidRPr="003E640D">
              <w:rPr>
                <w:rFonts w:asciiTheme="majorHAnsi" w:hAnsiTheme="majorHAnsi" w:cstheme="majorHAnsi"/>
              </w:rPr>
              <w:t xml:space="preserve"> hazardous materials in commerce and transport</w:t>
            </w:r>
            <w:r w:rsidR="00BF0E0A">
              <w:rPr>
                <w:rFonts w:asciiTheme="majorHAnsi" w:hAnsiTheme="majorHAnsi" w:cstheme="majorHAnsi"/>
              </w:rPr>
              <w:t>ing</w:t>
            </w:r>
            <w:r w:rsidRPr="003E640D">
              <w:rPr>
                <w:rFonts w:asciiTheme="majorHAnsi" w:hAnsiTheme="majorHAnsi" w:cstheme="majorHAnsi"/>
              </w:rPr>
              <w:t xml:space="preserve"> n</w:t>
            </w:r>
            <w:r>
              <w:rPr>
                <w:rFonts w:asciiTheme="majorHAnsi" w:hAnsiTheme="majorHAnsi" w:cstheme="majorHAnsi"/>
              </w:rPr>
              <w:t>atural and other gas, petroleum</w:t>
            </w:r>
            <w:r w:rsidRPr="003E640D">
              <w:rPr>
                <w:rFonts w:asciiTheme="majorHAnsi" w:hAnsiTheme="majorHAnsi" w:cstheme="majorHAnsi"/>
              </w:rPr>
              <w:t xml:space="preserve"> and other </w:t>
            </w:r>
            <w:r>
              <w:rPr>
                <w:rFonts w:asciiTheme="majorHAnsi" w:hAnsiTheme="majorHAnsi" w:cstheme="majorHAnsi"/>
              </w:rPr>
              <w:t>hazardous liquids by pipeline</w:t>
            </w:r>
          </w:p>
          <w:p w:rsidR="003E640D" w:rsidRDefault="003E640D" w:rsidP="00095AD7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Issues</w:t>
            </w:r>
            <w:r w:rsidRPr="003E640D">
              <w:rPr>
                <w:rFonts w:asciiTheme="majorHAnsi" w:hAnsiTheme="majorHAnsi" w:cstheme="majorHAnsi"/>
              </w:rPr>
              <w:t xml:space="preserve"> all fi</w:t>
            </w:r>
            <w:r>
              <w:rPr>
                <w:rFonts w:asciiTheme="majorHAnsi" w:hAnsiTheme="majorHAnsi" w:cstheme="majorHAnsi"/>
              </w:rPr>
              <w:t>nal rules, decisions on appeals</w:t>
            </w:r>
            <w:r w:rsidRPr="003E640D">
              <w:rPr>
                <w:rFonts w:asciiTheme="majorHAnsi" w:hAnsiTheme="majorHAnsi" w:cstheme="majorHAnsi"/>
              </w:rPr>
              <w:t xml:space="preserve"> and reconsideration decisions</w:t>
            </w:r>
          </w:p>
          <w:p w:rsidR="0016537A" w:rsidRPr="00F61523" w:rsidRDefault="003E640D" w:rsidP="00095AD7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Determines </w:t>
            </w:r>
            <w:r w:rsidRPr="003E640D">
              <w:rPr>
                <w:rFonts w:asciiTheme="majorHAnsi" w:hAnsiTheme="majorHAnsi" w:cstheme="majorHAnsi"/>
              </w:rPr>
              <w:t>and establishes PHMSA pr</w:t>
            </w:r>
            <w:r>
              <w:rPr>
                <w:rFonts w:asciiTheme="majorHAnsi" w:hAnsiTheme="majorHAnsi" w:cstheme="majorHAnsi"/>
              </w:rPr>
              <w:t>ogram policies, objectives</w:t>
            </w:r>
            <w:r w:rsidRPr="003E640D">
              <w:rPr>
                <w:rFonts w:asciiTheme="majorHAnsi" w:hAnsiTheme="majorHAnsi" w:cstheme="majorHAnsi"/>
              </w:rPr>
              <w:t xml:space="preserve"> and priorities</w:t>
            </w:r>
            <w:r>
              <w:rPr>
                <w:rFonts w:asciiTheme="majorHAnsi" w:hAnsiTheme="majorHAnsi" w:cstheme="majorHAnsi"/>
              </w:rPr>
              <w:t>,</w:t>
            </w:r>
            <w:r w:rsidRPr="003E640D">
              <w:rPr>
                <w:rFonts w:asciiTheme="majorHAnsi" w:hAnsiTheme="majorHAnsi" w:cstheme="majorHAnsi"/>
              </w:rPr>
              <w:t xml:space="preserve"> and directs the development of actions pla</w:t>
            </w:r>
            <w:r>
              <w:rPr>
                <w:rFonts w:asciiTheme="majorHAnsi" w:hAnsiTheme="majorHAnsi" w:cstheme="majorHAnsi"/>
              </w:rPr>
              <w:t>ns to accomplish PHMSA missions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F61523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[</w:t>
            </w:r>
            <w:r w:rsidR="005D5F5A" w:rsidRPr="00F6152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F61523">
              <w:rPr>
                <w:rFonts w:asciiTheme="majorHAnsi" w:hAnsiTheme="majorHAnsi" w:cstheme="majorHAnsi"/>
              </w:rPr>
              <w:t>]</w:t>
            </w:r>
          </w:p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6152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615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152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40D" w:rsidRDefault="003E640D" w:rsidP="003E640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</w:t>
            </w:r>
            <w:r w:rsidRPr="003E640D">
              <w:rPr>
                <w:rFonts w:asciiTheme="majorHAnsi" w:hAnsiTheme="majorHAnsi" w:cstheme="majorHAnsi"/>
                <w:bCs/>
              </w:rPr>
              <w:t>rofessional experience in pipeline saf</w:t>
            </w:r>
            <w:r>
              <w:rPr>
                <w:rFonts w:asciiTheme="majorHAnsi" w:hAnsiTheme="majorHAnsi" w:cstheme="majorHAnsi"/>
                <w:bCs/>
              </w:rPr>
              <w:t>ety, hazardous materials safety</w:t>
            </w:r>
            <w:r w:rsidRPr="003E640D">
              <w:rPr>
                <w:rFonts w:asciiTheme="majorHAnsi" w:hAnsiTheme="majorHAnsi" w:cstheme="majorHAnsi"/>
                <w:bCs/>
              </w:rPr>
              <w:t xml:space="preserve"> or other transportation safety</w:t>
            </w:r>
            <w:r w:rsidR="00A13B64">
              <w:rPr>
                <w:rFonts w:asciiTheme="majorHAnsi" w:hAnsiTheme="majorHAnsi" w:cstheme="majorHAnsi"/>
                <w:bCs/>
              </w:rPr>
              <w:t xml:space="preserve"> area</w:t>
            </w:r>
            <w:r>
              <w:rPr>
                <w:rFonts w:asciiTheme="majorHAnsi" w:hAnsiTheme="majorHAnsi" w:cstheme="majorHAnsi"/>
                <w:bCs/>
              </w:rPr>
              <w:t xml:space="preserve"> (49 U.S.C. </w:t>
            </w:r>
            <w:r w:rsidRPr="003E640D">
              <w:rPr>
                <w:rFonts w:asciiTheme="majorHAnsi" w:hAnsiTheme="majorHAnsi" w:cstheme="majorHAnsi"/>
                <w:bCs/>
              </w:rPr>
              <w:t>§ 108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Relationships with relevant stakeholders, or ability to form them</w:t>
            </w:r>
          </w:p>
          <w:p w:rsidR="006256F2" w:rsidRPr="006256F2" w:rsidRDefault="006256F2" w:rsidP="006256F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</w:t>
            </w:r>
            <w:r w:rsidRPr="00083C23">
              <w:rPr>
                <w:rFonts w:asciiTheme="majorHAnsi" w:hAnsiTheme="majorHAnsi" w:cstheme="majorHAnsi"/>
                <w:bCs/>
              </w:rPr>
              <w:t>nderstanding of congressional and legislative processes</w:t>
            </w:r>
          </w:p>
        </w:tc>
      </w:tr>
      <w:tr w:rsidR="00661AE5" w:rsidRPr="00F6152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61523" w:rsidRDefault="00661AE5" w:rsidP="004E1C64">
            <w:pPr>
              <w:rPr>
                <w:rFonts w:asciiTheme="majorHAnsi" w:hAnsiTheme="majorHAnsi" w:cstheme="majorHAnsi"/>
              </w:rPr>
            </w:pPr>
            <w:r w:rsidRPr="00F61523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6256F2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negotiation skills</w:t>
            </w:r>
          </w:p>
          <w:p w:rsidR="006256F2" w:rsidRPr="006256F2" w:rsidRDefault="006256F2" w:rsidP="006256F2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</w:tc>
      </w:tr>
      <w:tr w:rsidR="00661AE5" w:rsidRPr="00F6152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6152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152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EA599D" w:rsidRPr="00EA59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A599D" w:rsidRDefault="00EA599D" w:rsidP="00EA599D">
            <w:pPr>
              <w:rPr>
                <w:rFonts w:asciiTheme="majorHAnsi" w:hAnsiTheme="majorHAnsi" w:cstheme="majorHAnsi"/>
              </w:rPr>
            </w:pPr>
            <w:r w:rsidRPr="00EA599D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 xml:space="preserve">Marie Therese Dominguez (2015 to 2017): </w:t>
            </w:r>
            <w:r w:rsidRPr="00EA599D">
              <w:rPr>
                <w:rFonts w:ascii="Arial" w:hAnsi="Arial" w:cs="Arial"/>
                <w:shd w:val="clear" w:color="auto" w:fill="FFFFFF"/>
              </w:rPr>
              <w:t>Member, Freight Policy Council, Department of Transportation; Deputy Administrator, Pipeline and Hazardous Materials Safety Administration, Department of Transportation; Principal Deputy Assistant Secretary, Assistant Secretary for Civil Works, Department of the Army, Department of Defense</w:t>
            </w:r>
            <w:r w:rsidRPr="00EA599D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5"/>
            </w:r>
          </w:p>
        </w:tc>
      </w:tr>
      <w:tr w:rsidR="00EA599D" w:rsidRPr="00EA59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A599D" w:rsidRDefault="00EA599D" w:rsidP="00EA599D">
            <w:pPr>
              <w:rPr>
                <w:rFonts w:asciiTheme="majorHAnsi" w:hAnsiTheme="majorHAnsi" w:cstheme="majorHAnsi"/>
              </w:rPr>
            </w:pPr>
            <w:r w:rsidRPr="00EA599D">
              <w:rPr>
                <w:rFonts w:ascii="Arial" w:hAnsi="Arial" w:cs="Arial"/>
                <w:shd w:val="clear" w:color="auto" w:fill="FFFFFF"/>
              </w:rPr>
              <w:t>Cynthia L. Quarterman (2009 to 2014): Partner, Regulatory and Industry Affairs Department, Steptoe &amp; Johnson LLP; Team Member, Department of Energy Review Team, President-Elect Obama Transition Team; Director, Minerals Management Service, Office of the Assistant Secretary, Department of the Interior</w:t>
            </w:r>
            <w:r w:rsidRPr="00EA599D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6"/>
            </w:r>
          </w:p>
        </w:tc>
      </w:tr>
      <w:tr w:rsidR="00EA599D" w:rsidRPr="00EA599D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A599D" w:rsidRDefault="00EA599D" w:rsidP="00EA599D">
            <w:pPr>
              <w:rPr>
                <w:rFonts w:asciiTheme="majorHAnsi" w:hAnsiTheme="majorHAnsi" w:cstheme="majorHAnsi"/>
              </w:rPr>
            </w:pPr>
            <w:r w:rsidRPr="00EA599D">
              <w:rPr>
                <w:rFonts w:ascii="Arial" w:hAnsi="Arial" w:cs="Arial"/>
                <w:shd w:val="clear" w:color="auto" w:fill="FFFFFF"/>
              </w:rPr>
              <w:t>Carl T. Johnson (2008 to 2009):</w:t>
            </w:r>
            <w:r>
              <w:rPr>
                <w:rFonts w:ascii="Arial" w:hAnsi="Arial" w:cs="Arial"/>
                <w:shd w:val="clear" w:color="auto" w:fill="FFFFFF"/>
              </w:rPr>
              <w:t>P</w:t>
            </w:r>
            <w:r w:rsidRPr="00EA599D">
              <w:rPr>
                <w:rFonts w:ascii="Arial" w:hAnsi="Arial" w:cs="Arial"/>
                <w:shd w:val="clear" w:color="auto" w:fill="FFFFFF"/>
              </w:rPr>
              <w:t xml:space="preserve">resident of the Compressed Gas Association; </w:t>
            </w:r>
            <w:r>
              <w:rPr>
                <w:rFonts w:ascii="Arial" w:hAnsi="Arial" w:cs="Arial"/>
                <w:shd w:val="clear" w:color="auto" w:fill="FFFFFF"/>
              </w:rPr>
              <w:t>Special A</w:t>
            </w:r>
            <w:r w:rsidRPr="00EA599D">
              <w:rPr>
                <w:rFonts w:ascii="Arial" w:hAnsi="Arial" w:cs="Arial"/>
                <w:shd w:val="clear" w:color="auto" w:fill="FFFFFF"/>
              </w:rPr>
              <w:t xml:space="preserve">ssistant to Representative Amory Houghton of New York; </w:t>
            </w:r>
            <w:r>
              <w:rPr>
                <w:rFonts w:ascii="Arial" w:hAnsi="Arial" w:cs="Arial"/>
                <w:shd w:val="clear" w:color="auto" w:fill="FFFFFF"/>
              </w:rPr>
              <w:t>Director of Federal Government R</w:t>
            </w:r>
            <w:r w:rsidRPr="00EA599D">
              <w:rPr>
                <w:rFonts w:ascii="Arial" w:hAnsi="Arial" w:cs="Arial"/>
                <w:shd w:val="clear" w:color="auto" w:fill="FFFFFF"/>
              </w:rPr>
              <w:t>elations at Corning Glass Works</w:t>
            </w:r>
            <w:r w:rsidRPr="00EA599D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7"/>
            </w:r>
          </w:p>
        </w:tc>
      </w:tr>
      <w:bookmarkEnd w:id="0"/>
    </w:tbl>
    <w:p w:rsidR="00514128" w:rsidRPr="00F61523" w:rsidRDefault="00514128">
      <w:pPr>
        <w:rPr>
          <w:rFonts w:asciiTheme="majorHAnsi" w:hAnsiTheme="majorHAnsi" w:cstheme="majorHAnsi"/>
        </w:rPr>
      </w:pPr>
    </w:p>
    <w:sectPr w:rsidR="00514128" w:rsidRPr="00F61523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C9" w:rsidRDefault="00303DC9" w:rsidP="001E22F1">
      <w:r>
        <w:separator/>
      </w:r>
    </w:p>
  </w:endnote>
  <w:endnote w:type="continuationSeparator" w:id="0">
    <w:p w:rsidR="00303DC9" w:rsidRDefault="00303DC9" w:rsidP="001E22F1">
      <w:r>
        <w:continuationSeparator/>
      </w:r>
    </w:p>
  </w:endnote>
  <w:endnote w:id="1">
    <w:p w:rsidR="003E640D" w:rsidRDefault="003E640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2">
    <w:p w:rsidR="00B70DEB" w:rsidRDefault="00B70DEB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3E640D" w:rsidRDefault="003E640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66A67">
          <w:rPr>
            <w:rStyle w:val="Hyperlink"/>
          </w:rPr>
          <w:t>https://www.transportation.gov/sites/dot.gov/files/docs/FY2016-BudgetEstimate-PHMSA.pdf</w:t>
        </w:r>
      </w:hyperlink>
    </w:p>
    <w:p w:rsidR="003E640D" w:rsidRDefault="003E640D">
      <w:pPr>
        <w:pStyle w:val="EndnoteText"/>
      </w:pPr>
      <w:r>
        <w:t>Partnership for Public Service analysis of OPM FedScope data</w:t>
      </w:r>
    </w:p>
  </w:endnote>
  <w:endnote w:id="4">
    <w:p w:rsidR="003E640D" w:rsidRDefault="003E640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EA599D" w:rsidRDefault="00EA599D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6">
    <w:p w:rsidR="00EA599D" w:rsidRDefault="00EA599D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7">
    <w:p w:rsidR="00EA599D" w:rsidRDefault="00EA59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A599D">
        <w:t>https://georgewbush-whitehouse.archives.gov/results/leadership/bio_1280.html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C9" w:rsidRDefault="00303DC9" w:rsidP="001E22F1">
      <w:r>
        <w:separator/>
      </w:r>
    </w:p>
  </w:footnote>
  <w:footnote w:type="continuationSeparator" w:id="0">
    <w:p w:rsidR="00303DC9" w:rsidRDefault="00303DC9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B70DE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53"/>
    <w:multiLevelType w:val="hybridMultilevel"/>
    <w:tmpl w:val="141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56"/>
    <w:multiLevelType w:val="hybridMultilevel"/>
    <w:tmpl w:val="281C3F9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CC316A"/>
    <w:multiLevelType w:val="hybridMultilevel"/>
    <w:tmpl w:val="E9FC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84584"/>
    <w:multiLevelType w:val="hybridMultilevel"/>
    <w:tmpl w:val="ED1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8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6"/>
  </w:num>
  <w:num w:numId="10">
    <w:abstractNumId w:val="8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9"/>
  </w:num>
  <w:num w:numId="18">
    <w:abstractNumId w:val="32"/>
  </w:num>
  <w:num w:numId="19">
    <w:abstractNumId w:val="10"/>
  </w:num>
  <w:num w:numId="20">
    <w:abstractNumId w:val="25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4"/>
  </w:num>
  <w:num w:numId="27">
    <w:abstractNumId w:val="20"/>
  </w:num>
  <w:num w:numId="28">
    <w:abstractNumId w:val="17"/>
  </w:num>
  <w:num w:numId="29">
    <w:abstractNumId w:val="21"/>
  </w:num>
  <w:num w:numId="30">
    <w:abstractNumId w:val="28"/>
  </w:num>
  <w:num w:numId="31">
    <w:abstractNumId w:val="36"/>
  </w:num>
  <w:num w:numId="32">
    <w:abstractNumId w:val="37"/>
  </w:num>
  <w:num w:numId="33">
    <w:abstractNumId w:val="11"/>
  </w:num>
  <w:num w:numId="34">
    <w:abstractNumId w:val="2"/>
  </w:num>
  <w:num w:numId="35">
    <w:abstractNumId w:val="27"/>
  </w:num>
  <w:num w:numId="36">
    <w:abstractNumId w:val="0"/>
  </w:num>
  <w:num w:numId="37">
    <w:abstractNumId w:val="1"/>
  </w:num>
  <w:num w:numId="38">
    <w:abstractNumId w:val="1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225A"/>
    <w:rsid w:val="000846D6"/>
    <w:rsid w:val="0008706F"/>
    <w:rsid w:val="00087A28"/>
    <w:rsid w:val="00095AD7"/>
    <w:rsid w:val="000A0629"/>
    <w:rsid w:val="000A0E94"/>
    <w:rsid w:val="000A35C6"/>
    <w:rsid w:val="000B0938"/>
    <w:rsid w:val="000B0F7D"/>
    <w:rsid w:val="000B3130"/>
    <w:rsid w:val="000B3BCB"/>
    <w:rsid w:val="000B5E2B"/>
    <w:rsid w:val="000C1926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3DC9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47F4"/>
    <w:rsid w:val="003C56E7"/>
    <w:rsid w:val="003D120B"/>
    <w:rsid w:val="003D4CCB"/>
    <w:rsid w:val="003D5759"/>
    <w:rsid w:val="003E45AC"/>
    <w:rsid w:val="003E640D"/>
    <w:rsid w:val="003E715F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410F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92918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256F2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753B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95DBA"/>
    <w:rsid w:val="007A377A"/>
    <w:rsid w:val="007B1D32"/>
    <w:rsid w:val="007B6E3E"/>
    <w:rsid w:val="007C73DE"/>
    <w:rsid w:val="007D1AFF"/>
    <w:rsid w:val="007D609D"/>
    <w:rsid w:val="007D669F"/>
    <w:rsid w:val="007E14BA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47A61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7550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6CF4"/>
    <w:rsid w:val="009D264E"/>
    <w:rsid w:val="009D3593"/>
    <w:rsid w:val="009E1FC3"/>
    <w:rsid w:val="009E46C4"/>
    <w:rsid w:val="009E586C"/>
    <w:rsid w:val="009F59E4"/>
    <w:rsid w:val="00A07E43"/>
    <w:rsid w:val="00A11046"/>
    <w:rsid w:val="00A13B64"/>
    <w:rsid w:val="00A15619"/>
    <w:rsid w:val="00A16DAE"/>
    <w:rsid w:val="00A20D92"/>
    <w:rsid w:val="00A21FED"/>
    <w:rsid w:val="00A30648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0763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0DEB"/>
    <w:rsid w:val="00B72A3A"/>
    <w:rsid w:val="00B761F1"/>
    <w:rsid w:val="00B8440A"/>
    <w:rsid w:val="00B846F2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0E0A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40FD"/>
    <w:rsid w:val="00C82C06"/>
    <w:rsid w:val="00C8525A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1F5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0FB6"/>
    <w:rsid w:val="00E02BB0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599D"/>
    <w:rsid w:val="00EB20A7"/>
    <w:rsid w:val="00EB5A4E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47595"/>
    <w:rsid w:val="00F51D84"/>
    <w:rsid w:val="00F61523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08225A"/>
  </w:style>
  <w:style w:type="character" w:customStyle="1" w:styleId="num">
    <w:name w:val="num"/>
    <w:basedOn w:val="DefaultParagraphFont"/>
    <w:rsid w:val="0008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777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474">
              <w:marLeft w:val="24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0435">
              <w:marLeft w:val="24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30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90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ortation.gov/sites/dot.gov/files/docs/FY2016-BudgetEstimate-PHMSA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020EB"/>
    <w:rsid w:val="00C36CDA"/>
    <w:rsid w:val="00D4302A"/>
    <w:rsid w:val="00DA32FC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96F9BD-5EF6-4359-A049-DA0B0D5E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2017-06-30T16:34:00Z</dcterms:created>
  <dcterms:modified xsi:type="dcterms:W3CDTF">2017-08-23T19:42:00Z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