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72D" w:rsidRPr="00224D1E" w:rsidRDefault="0017272D" w:rsidP="0017272D">
      <w:pPr>
        <w:pStyle w:val="Heading1"/>
        <w:spacing w:after="0"/>
        <w:rPr>
          <w:rFonts w:asciiTheme="majorHAnsi" w:hAnsiTheme="majorHAnsi" w:cstheme="majorHAnsi"/>
          <w:b w:val="0"/>
          <w:sz w:val="20"/>
          <w:szCs w:val="22"/>
        </w:rPr>
      </w:pPr>
      <w:bookmarkStart w:id="0" w:name="_Toc143586611"/>
      <w:r w:rsidRPr="00224D1E">
        <w:rPr>
          <w:rFonts w:asciiTheme="majorHAnsi" w:hAnsiTheme="majorHAnsi" w:cstheme="majorHAnsi"/>
          <w:b w:val="0"/>
          <w:sz w:val="20"/>
          <w:szCs w:val="22"/>
        </w:rPr>
        <w:t>POSITION DESCRIPTION</w:t>
      </w:r>
    </w:p>
    <w:p w:rsidR="00B47BB2" w:rsidRPr="007E3BE5" w:rsidRDefault="00B47BB2" w:rsidP="00B47BB2">
      <w:pPr>
        <w:keepNext/>
        <w:keepLines/>
        <w:pBdr>
          <w:bottom w:val="single" w:sz="4" w:space="1" w:color="003055" w:themeColor="text1"/>
        </w:pBdr>
        <w:tabs>
          <w:tab w:val="left" w:pos="4016"/>
        </w:tabs>
        <w:spacing w:before="120" w:after="120"/>
        <w:outlineLvl w:val="0"/>
        <w:rPr>
          <w:rFonts w:ascii="Arial" w:eastAsiaTheme="majorEastAsia" w:hAnsi="Arial" w:cstheme="majorBidi"/>
          <w:b/>
          <w:bCs/>
          <w:caps/>
          <w:sz w:val="26"/>
          <w:szCs w:val="24"/>
        </w:rPr>
      </w:pPr>
      <w:bookmarkStart w:id="1" w:name="_Toc465846415"/>
      <w:r w:rsidRPr="007E3BE5">
        <w:rPr>
          <w:rFonts w:ascii="Arial" w:eastAsiaTheme="majorEastAsia" w:hAnsi="Arial" w:cstheme="majorBidi"/>
          <w:b/>
          <w:bCs/>
          <w:caps/>
          <w:sz w:val="26"/>
          <w:szCs w:val="24"/>
        </w:rPr>
        <w:t>solicitor, Department of labor</w:t>
      </w:r>
      <w:bookmarkEnd w:id="1"/>
    </w:p>
    <w:p w:rsidR="00661AE5" w:rsidRPr="00224D1E" w:rsidRDefault="00661AE5" w:rsidP="00661AE5">
      <w:pPr>
        <w:rPr>
          <w:rFonts w:asciiTheme="majorHAnsi" w:hAnsiTheme="majorHAnsi" w:cstheme="majorHAnsi"/>
        </w:rPr>
      </w:pPr>
    </w:p>
    <w:tbl>
      <w:tblPr>
        <w:tblStyle w:val="TableGrid"/>
        <w:tblW w:w="0" w:type="auto"/>
        <w:tblInd w:w="108" w:type="dxa"/>
        <w:tblCellMar>
          <w:top w:w="58" w:type="dxa"/>
          <w:left w:w="115" w:type="dxa"/>
          <w:bottom w:w="58" w:type="dxa"/>
          <w:right w:w="115" w:type="dxa"/>
        </w:tblCellMar>
        <w:tblLook w:val="04A0" w:firstRow="1" w:lastRow="0" w:firstColumn="1" w:lastColumn="0" w:noHBand="0" w:noVBand="1"/>
      </w:tblPr>
      <w:tblGrid>
        <w:gridCol w:w="2621"/>
        <w:gridCol w:w="6841"/>
      </w:tblGrid>
      <w:tr w:rsidR="00B47BB2" w:rsidRPr="00865BFF" w:rsidTr="00B47BB2">
        <w:trPr>
          <w:trHeight w:val="108"/>
        </w:trPr>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B47BB2" w:rsidRPr="00865BFF" w:rsidRDefault="00B47BB2" w:rsidP="00E4729D">
            <w:pPr>
              <w:contextualSpacing/>
              <w:jc w:val="center"/>
              <w:rPr>
                <w:rFonts w:asciiTheme="majorHAnsi" w:hAnsiTheme="majorHAnsi" w:cstheme="majorHAnsi"/>
                <w:b/>
              </w:rPr>
            </w:pPr>
            <w:r w:rsidRPr="00865BFF">
              <w:rPr>
                <w:rFonts w:asciiTheme="majorHAnsi" w:hAnsiTheme="majorHAnsi" w:cstheme="majorHAnsi"/>
                <w:b/>
              </w:rPr>
              <w:t>OVERVIEW</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Senate Committee</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E4729D">
            <w:pPr>
              <w:contextualSpacing/>
              <w:rPr>
                <w:rFonts w:asciiTheme="majorHAnsi" w:hAnsiTheme="majorHAnsi" w:cstheme="majorHAnsi"/>
                <w:bCs/>
              </w:rPr>
            </w:pPr>
            <w:r w:rsidRPr="00865BFF">
              <w:rPr>
                <w:rFonts w:asciiTheme="majorHAnsi" w:hAnsiTheme="majorHAnsi" w:cstheme="majorHAnsi"/>
                <w:bCs/>
              </w:rPr>
              <w:t>Health, Education, Labor and Pensions</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Agency Mission</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To foster and promote the welfare of job seekers, wage earners and retirees of the United States by improving their working conditions, advancing their opportunities for profitable employment and protecting benefits.</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Position Overview</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bCs/>
              </w:rPr>
              <w:t>The Solicitor is the chief legal enforcer and support arm for the Department of Labor. The incumbent provides legal advice regarding how to achieve the department’s goals. In doing so, the Solicitor ensures that the federal labor laws are forcefully and fairly applied to protect the nation's workers.</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Compensation</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4258DD">
            <w:pPr>
              <w:contextualSpacing/>
              <w:rPr>
                <w:rFonts w:asciiTheme="majorHAnsi" w:hAnsiTheme="majorHAnsi" w:cstheme="majorHAnsi"/>
                <w:bCs/>
              </w:rPr>
            </w:pPr>
            <w:r w:rsidRPr="00865BFF">
              <w:rPr>
                <w:rFonts w:asciiTheme="majorHAnsi" w:hAnsiTheme="majorHAnsi" w:cstheme="majorHAnsi"/>
                <w:bCs/>
              </w:rPr>
              <w:t>Level IV $</w:t>
            </w:r>
            <w:r w:rsidR="004258DD">
              <w:rPr>
                <w:rFonts w:asciiTheme="majorHAnsi" w:hAnsiTheme="majorHAnsi" w:cstheme="majorHAnsi"/>
                <w:bCs/>
              </w:rPr>
              <w:t>155,500</w:t>
            </w:r>
            <w:r w:rsidRPr="00865BFF">
              <w:rPr>
                <w:rFonts w:asciiTheme="majorHAnsi" w:hAnsiTheme="majorHAnsi" w:cstheme="majorHAnsi"/>
                <w:bCs/>
              </w:rPr>
              <w:t xml:space="preserve"> (5 U.S.C. § 5315)</w:t>
            </w:r>
            <w:r w:rsidR="00865BFF" w:rsidRPr="00865BFF">
              <w:rPr>
                <w:rStyle w:val="EndnoteReference"/>
                <w:rFonts w:asciiTheme="majorHAnsi" w:hAnsiTheme="majorHAnsi" w:cstheme="majorHAnsi"/>
                <w:bCs/>
              </w:rPr>
              <w:endnoteReference w:id="1"/>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Position Reports to</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 xml:space="preserve">The Secretary of the Department of Labor </w:t>
            </w:r>
          </w:p>
        </w:tc>
      </w:tr>
      <w:tr w:rsidR="00B47BB2" w:rsidRPr="00865BFF" w:rsidTr="00B47BB2">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B47BB2" w:rsidRPr="00865BFF" w:rsidRDefault="00B47BB2" w:rsidP="00E4729D">
            <w:pPr>
              <w:contextualSpacing/>
              <w:jc w:val="center"/>
              <w:rPr>
                <w:rFonts w:asciiTheme="majorHAnsi" w:hAnsiTheme="majorHAnsi" w:cstheme="majorHAnsi"/>
                <w:b/>
              </w:rPr>
            </w:pPr>
            <w:r w:rsidRPr="00865BFF">
              <w:rPr>
                <w:rFonts w:asciiTheme="majorHAnsi" w:hAnsiTheme="majorHAnsi" w:cstheme="majorHAnsi"/>
                <w:b/>
              </w:rPr>
              <w:t>RESPONSIBILITIES</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Management Scope</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E4729D">
            <w:pPr>
              <w:contextualSpacing/>
              <w:rPr>
                <w:rFonts w:asciiTheme="majorHAnsi" w:hAnsiTheme="majorHAnsi" w:cstheme="majorHAnsi"/>
                <w:bCs/>
              </w:rPr>
            </w:pPr>
            <w:r w:rsidRPr="00865BFF">
              <w:rPr>
                <w:rFonts w:asciiTheme="majorHAnsi" w:hAnsiTheme="majorHAnsi" w:cstheme="majorHAnsi"/>
                <w:bCs/>
              </w:rPr>
              <w:t>In fiscal 2015, the Department of Labor had $45,217 million in outlays and 15,086 total employment. In addition, it receives funding from other sources, such as the Black Lung Disability Trust Fund. The president's fiscal 2017 request for solicitor’s office is $148,497,000. The solicitor currently has about 750 full time employees. The Solicitor’s senior executive team is composed of about 22 officials.</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Primary Responsibilities</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Advises the Secretary on policy decisions on legal matters relating to workplace health and safety, minimum wage and overtime compensation, employee retirement income security, equal employment opportunity, labor practices, workforce development, employment security and unemployment insurance, worker compensation, veterans’ readjustment assistance and reemployment rights, and international labor affairs.</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Represents the Secretary and the client agencies in all necessary litigation, including both enforcement actions and defensive litigation, and in alternative dispute resolution activities</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Assists the Secretary in making final litigation decisions on sensitive and critical matters</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Represents the Secretary in interagency negotiations on legal matters relating to policy and on litigation matters</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Assists in the development of regulations, standards and legislative proposals</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lastRenderedPageBreak/>
              <w:t>Provides legal opinions and advice concerning all the department's activities</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Serves as acting secretary in the absence of the Secretary or Deputy Secretary</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Responsible for managing the Office of the Solicitor, including making personnel decisions and overseeing the budget</w:t>
            </w:r>
          </w:p>
          <w:p w:rsidR="00B47BB2" w:rsidRPr="00865BFF" w:rsidRDefault="00B47BB2" w:rsidP="00B47BB2">
            <w:pPr>
              <w:numPr>
                <w:ilvl w:val="0"/>
                <w:numId w:val="34"/>
              </w:numPr>
              <w:contextualSpacing/>
              <w:rPr>
                <w:rFonts w:asciiTheme="majorHAnsi" w:eastAsia="Calibri" w:hAnsiTheme="majorHAnsi" w:cstheme="majorHAnsi"/>
              </w:rPr>
            </w:pPr>
            <w:r w:rsidRPr="00865BFF">
              <w:rPr>
                <w:rFonts w:asciiTheme="majorHAnsi" w:eastAsia="Calibri" w:hAnsiTheme="majorHAnsi" w:cstheme="majorHAnsi"/>
              </w:rPr>
              <w:t>Oversees eight regions serving as the department’s frontline enforcement, including trial level litigation</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lastRenderedPageBreak/>
              <w:t>Strategic Goals and Priorities</w:t>
            </w:r>
          </w:p>
        </w:tc>
        <w:tc>
          <w:tcPr>
            <w:tcW w:w="6841" w:type="dxa"/>
            <w:tcBorders>
              <w:top w:val="single" w:sz="2" w:space="0" w:color="auto"/>
              <w:left w:val="single" w:sz="2" w:space="0" w:color="auto"/>
              <w:bottom w:val="single" w:sz="2" w:space="0" w:color="auto"/>
              <w:right w:val="single" w:sz="2" w:space="0" w:color="auto"/>
            </w:tcBorders>
            <w:vAlign w:val="center"/>
          </w:tcPr>
          <w:p w:rsidR="00B47BB2" w:rsidRPr="00865BFF" w:rsidRDefault="00B47BB2" w:rsidP="00E4729D">
            <w:pPr>
              <w:ind w:left="72"/>
              <w:contextualSpacing/>
              <w:jc w:val="center"/>
              <w:rPr>
                <w:rFonts w:asciiTheme="majorHAnsi" w:hAnsiTheme="majorHAnsi" w:cstheme="majorHAnsi"/>
              </w:rPr>
            </w:pPr>
          </w:p>
          <w:p w:rsidR="00B47BB2" w:rsidRPr="00865BFF" w:rsidRDefault="00B47BB2" w:rsidP="00E4729D">
            <w:pPr>
              <w:ind w:left="72"/>
              <w:contextualSpacing/>
              <w:jc w:val="center"/>
              <w:rPr>
                <w:rFonts w:asciiTheme="majorHAnsi" w:hAnsiTheme="majorHAnsi" w:cstheme="majorHAnsi"/>
              </w:rPr>
            </w:pPr>
          </w:p>
          <w:p w:rsidR="00B47BB2" w:rsidRPr="00865BFF" w:rsidRDefault="00B47BB2" w:rsidP="00E4729D">
            <w:pPr>
              <w:ind w:left="72"/>
              <w:contextualSpacing/>
              <w:jc w:val="center"/>
              <w:rPr>
                <w:rFonts w:asciiTheme="majorHAnsi" w:hAnsiTheme="majorHAnsi" w:cstheme="majorHAnsi"/>
              </w:rPr>
            </w:pPr>
            <w:r w:rsidRPr="00865BFF">
              <w:rPr>
                <w:rFonts w:asciiTheme="majorHAnsi" w:hAnsiTheme="majorHAnsi" w:cstheme="majorHAnsi"/>
              </w:rPr>
              <w:t xml:space="preserve">[Depends on the policy priorities of the administration] </w:t>
            </w:r>
          </w:p>
          <w:p w:rsidR="00B47BB2" w:rsidRPr="00865BFF" w:rsidRDefault="00B47BB2" w:rsidP="00E4729D">
            <w:pPr>
              <w:ind w:left="72"/>
              <w:contextualSpacing/>
              <w:jc w:val="center"/>
              <w:rPr>
                <w:rFonts w:asciiTheme="majorHAnsi" w:hAnsiTheme="majorHAnsi" w:cstheme="majorHAnsi"/>
              </w:rPr>
            </w:pPr>
          </w:p>
          <w:p w:rsidR="00B47BB2" w:rsidRPr="00865BFF" w:rsidRDefault="00B47BB2" w:rsidP="00E4729D">
            <w:pPr>
              <w:ind w:left="72"/>
              <w:contextualSpacing/>
              <w:jc w:val="center"/>
              <w:rPr>
                <w:rFonts w:asciiTheme="majorHAnsi" w:hAnsiTheme="majorHAnsi" w:cstheme="majorHAnsi"/>
              </w:rPr>
            </w:pPr>
          </w:p>
        </w:tc>
      </w:tr>
      <w:tr w:rsidR="00B47BB2" w:rsidRPr="00865BFF" w:rsidTr="00B47BB2">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B47BB2" w:rsidRPr="00865BFF" w:rsidRDefault="00B47BB2" w:rsidP="00E4729D">
            <w:pPr>
              <w:contextualSpacing/>
              <w:jc w:val="center"/>
              <w:rPr>
                <w:rFonts w:asciiTheme="majorHAnsi" w:hAnsiTheme="majorHAnsi" w:cstheme="majorHAnsi"/>
                <w:b/>
              </w:rPr>
            </w:pPr>
            <w:r w:rsidRPr="00865BFF">
              <w:rPr>
                <w:rFonts w:asciiTheme="majorHAnsi" w:hAnsiTheme="majorHAnsi" w:cstheme="majorHAnsi"/>
                <w:b/>
              </w:rPr>
              <w:t>REQUIREMENTS AND COMPETENCIES</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Requirements</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B47BB2">
            <w:pPr>
              <w:numPr>
                <w:ilvl w:val="0"/>
                <w:numId w:val="31"/>
              </w:numPr>
              <w:contextualSpacing/>
              <w:rPr>
                <w:rFonts w:asciiTheme="majorHAnsi" w:eastAsia="Calibri" w:hAnsiTheme="majorHAnsi" w:cstheme="majorHAnsi"/>
                <w:bCs/>
              </w:rPr>
            </w:pPr>
            <w:r w:rsidRPr="00865BFF">
              <w:rPr>
                <w:rFonts w:asciiTheme="majorHAnsi" w:eastAsia="Calibri" w:hAnsiTheme="majorHAnsi" w:cstheme="majorHAnsi"/>
                <w:bCs/>
              </w:rPr>
              <w:t>Accomplished employment and labor relations attorney</w:t>
            </w:r>
          </w:p>
          <w:p w:rsidR="00B47BB2" w:rsidRPr="00865BFF" w:rsidRDefault="00B47BB2" w:rsidP="00B47BB2">
            <w:pPr>
              <w:numPr>
                <w:ilvl w:val="0"/>
                <w:numId w:val="31"/>
              </w:numPr>
              <w:contextualSpacing/>
              <w:rPr>
                <w:rFonts w:asciiTheme="majorHAnsi" w:eastAsia="Calibri" w:hAnsiTheme="majorHAnsi" w:cstheme="majorHAnsi"/>
                <w:bCs/>
              </w:rPr>
            </w:pPr>
            <w:r w:rsidRPr="00865BFF">
              <w:rPr>
                <w:rFonts w:asciiTheme="majorHAnsi" w:eastAsia="Calibri" w:hAnsiTheme="majorHAnsi" w:cstheme="majorHAnsi"/>
                <w:bCs/>
              </w:rPr>
              <w:t>Significant management experience</w:t>
            </w:r>
          </w:p>
          <w:p w:rsidR="00B47BB2" w:rsidRPr="00865BFF" w:rsidRDefault="00B47BB2" w:rsidP="00B47BB2">
            <w:pPr>
              <w:numPr>
                <w:ilvl w:val="0"/>
                <w:numId w:val="31"/>
              </w:numPr>
              <w:contextualSpacing/>
              <w:rPr>
                <w:rFonts w:asciiTheme="majorHAnsi" w:eastAsia="Calibri" w:hAnsiTheme="majorHAnsi" w:cstheme="majorHAnsi"/>
                <w:bCs/>
              </w:rPr>
            </w:pPr>
            <w:r w:rsidRPr="00865BFF">
              <w:rPr>
                <w:rFonts w:asciiTheme="majorHAnsi" w:eastAsia="Calibri" w:hAnsiTheme="majorHAnsi" w:cstheme="majorHAnsi"/>
                <w:bCs/>
              </w:rPr>
              <w:t>Understanding of federal regulatory and legislative processes</w:t>
            </w:r>
          </w:p>
          <w:p w:rsidR="00B47BB2" w:rsidRPr="00865BFF" w:rsidRDefault="00B47BB2" w:rsidP="00B47BB2">
            <w:pPr>
              <w:numPr>
                <w:ilvl w:val="0"/>
                <w:numId w:val="31"/>
              </w:numPr>
              <w:contextualSpacing/>
              <w:rPr>
                <w:rFonts w:asciiTheme="majorHAnsi" w:eastAsia="Calibri" w:hAnsiTheme="majorHAnsi" w:cstheme="majorHAnsi"/>
                <w:bCs/>
              </w:rPr>
            </w:pPr>
            <w:r w:rsidRPr="00865BFF">
              <w:rPr>
                <w:rFonts w:asciiTheme="majorHAnsi" w:eastAsia="Calibri" w:hAnsiTheme="majorHAnsi" w:cstheme="majorHAnsi"/>
                <w:bCs/>
              </w:rPr>
              <w:t>Familiarity with the public workforce system and/or unemployment insurance system</w:t>
            </w:r>
          </w:p>
        </w:tc>
      </w:tr>
      <w:tr w:rsidR="00B47BB2" w:rsidRPr="00865BFF" w:rsidTr="00B47BB2">
        <w:tc>
          <w:tcPr>
            <w:tcW w:w="262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Competencies</w:t>
            </w:r>
          </w:p>
        </w:tc>
        <w:tc>
          <w:tcPr>
            <w:tcW w:w="6841" w:type="dxa"/>
            <w:tcBorders>
              <w:top w:val="single" w:sz="2" w:space="0" w:color="auto"/>
              <w:left w:val="single" w:sz="2" w:space="0" w:color="auto"/>
              <w:bottom w:val="single" w:sz="2" w:space="0" w:color="auto"/>
              <w:right w:val="single" w:sz="2" w:space="0" w:color="auto"/>
            </w:tcBorders>
          </w:tcPr>
          <w:p w:rsidR="00B47BB2" w:rsidRPr="00865BFF" w:rsidRDefault="00B47BB2" w:rsidP="00B47BB2">
            <w:pPr>
              <w:numPr>
                <w:ilvl w:val="0"/>
                <w:numId w:val="32"/>
              </w:numPr>
              <w:contextualSpacing/>
              <w:rPr>
                <w:rFonts w:asciiTheme="majorHAnsi" w:eastAsia="Calibri" w:hAnsiTheme="majorHAnsi" w:cstheme="majorHAnsi"/>
                <w:bCs/>
              </w:rPr>
            </w:pPr>
            <w:r w:rsidRPr="00865BFF">
              <w:rPr>
                <w:rFonts w:asciiTheme="majorHAnsi" w:eastAsia="Calibri" w:hAnsiTheme="majorHAnsi" w:cstheme="majorHAnsi"/>
                <w:bCs/>
              </w:rPr>
              <w:t>Ability to prioritize and manage a significant number of policy initiatives and legal matters simultaneously while pushing the ball forward</w:t>
            </w:r>
          </w:p>
        </w:tc>
      </w:tr>
      <w:tr w:rsidR="00684398" w:rsidRPr="00865BFF" w:rsidTr="008149B1">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684398" w:rsidRPr="00865BFF" w:rsidRDefault="00684398" w:rsidP="00684398">
            <w:pPr>
              <w:jc w:val="center"/>
              <w:rPr>
                <w:rFonts w:asciiTheme="majorHAnsi" w:hAnsiTheme="majorHAnsi" w:cstheme="majorHAnsi"/>
                <w:b/>
              </w:rPr>
            </w:pPr>
            <w:r w:rsidRPr="00865BFF">
              <w:rPr>
                <w:rFonts w:asciiTheme="majorHAnsi" w:hAnsiTheme="majorHAnsi" w:cstheme="majorHAnsi"/>
                <w:b/>
              </w:rPr>
              <w:t>PAST APPOINTEES</w:t>
            </w:r>
          </w:p>
        </w:tc>
      </w:tr>
      <w:bookmarkEnd w:id="0"/>
      <w:tr w:rsidR="00B47BB2" w:rsidRPr="00865BFF" w:rsidTr="00B47BB2">
        <w:tc>
          <w:tcPr>
            <w:tcW w:w="9462" w:type="dxa"/>
            <w:gridSpan w:val="2"/>
            <w:tcBorders>
              <w:top w:val="single" w:sz="2" w:space="0" w:color="auto"/>
              <w:left w:val="single" w:sz="2" w:space="0" w:color="auto"/>
              <w:bottom w:val="single" w:sz="2" w:space="0" w:color="auto"/>
              <w:right w:val="single" w:sz="2" w:space="0" w:color="auto"/>
            </w:tcBorders>
          </w:tcPr>
          <w:p w:rsidR="00B47BB2" w:rsidRPr="00865BFF" w:rsidRDefault="00B47BB2" w:rsidP="00332EA7">
            <w:pPr>
              <w:contextualSpacing/>
              <w:rPr>
                <w:rFonts w:asciiTheme="majorHAnsi" w:hAnsiTheme="majorHAnsi" w:cstheme="majorHAnsi"/>
              </w:rPr>
            </w:pPr>
            <w:r w:rsidRPr="00865BFF">
              <w:rPr>
                <w:rFonts w:asciiTheme="majorHAnsi" w:hAnsiTheme="majorHAnsi" w:cstheme="majorHAnsi"/>
              </w:rPr>
              <w:t xml:space="preserve">M. Patricia Smith (2010 to </w:t>
            </w:r>
            <w:r w:rsidR="00332EA7">
              <w:rPr>
                <w:rFonts w:asciiTheme="majorHAnsi" w:hAnsiTheme="majorHAnsi" w:cstheme="majorHAnsi"/>
              </w:rPr>
              <w:t>2017</w:t>
            </w:r>
            <w:r w:rsidRPr="00865BFF">
              <w:rPr>
                <w:rFonts w:asciiTheme="majorHAnsi" w:hAnsiTheme="majorHAnsi" w:cstheme="majorHAnsi"/>
              </w:rPr>
              <w:t>) - Chief of the Labor Bureau, Office of the New York Attorney General; Deputy Bureau Chief and Section Chief of the Labor Bureau, Office of the New York Attorney General; Legal Services Organizations focused on representing unemployment claimants</w:t>
            </w:r>
          </w:p>
        </w:tc>
      </w:tr>
      <w:tr w:rsidR="00B47BB2" w:rsidRPr="00865BFF" w:rsidTr="00B47BB2">
        <w:tc>
          <w:tcPr>
            <w:tcW w:w="9462" w:type="dxa"/>
            <w:gridSpan w:val="2"/>
            <w:tcBorders>
              <w:top w:val="single" w:sz="2" w:space="0" w:color="auto"/>
              <w:left w:val="single" w:sz="2" w:space="0" w:color="auto"/>
              <w:bottom w:val="single" w:sz="2" w:space="0" w:color="auto"/>
              <w:right w:val="single" w:sz="2" w:space="0" w:color="auto"/>
            </w:tcBorders>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Gregory Jacob (2007 to 2009) - Senior Advisor to the Secretary of Labor; Special Assistant to President Bush; Attorney Advisor, Department of Justice, Office of Legal Counsel</w:t>
            </w:r>
          </w:p>
        </w:tc>
      </w:tr>
      <w:tr w:rsidR="00B47BB2" w:rsidRPr="00865BFF" w:rsidTr="00B47BB2">
        <w:tc>
          <w:tcPr>
            <w:tcW w:w="9462" w:type="dxa"/>
            <w:gridSpan w:val="2"/>
            <w:tcBorders>
              <w:top w:val="single" w:sz="2" w:space="0" w:color="auto"/>
              <w:left w:val="single" w:sz="2" w:space="0" w:color="auto"/>
              <w:bottom w:val="single" w:sz="2" w:space="0" w:color="auto"/>
              <w:right w:val="single" w:sz="2" w:space="0" w:color="auto"/>
            </w:tcBorders>
          </w:tcPr>
          <w:p w:rsidR="00B47BB2" w:rsidRPr="00865BFF" w:rsidRDefault="00B47BB2" w:rsidP="00E4729D">
            <w:pPr>
              <w:contextualSpacing/>
              <w:rPr>
                <w:rFonts w:asciiTheme="majorHAnsi" w:hAnsiTheme="majorHAnsi" w:cstheme="majorHAnsi"/>
              </w:rPr>
            </w:pPr>
            <w:r w:rsidRPr="00865BFF">
              <w:rPr>
                <w:rFonts w:asciiTheme="majorHAnsi" w:hAnsiTheme="majorHAnsi" w:cstheme="majorHAnsi"/>
              </w:rPr>
              <w:t xml:space="preserve">Howard </w:t>
            </w:r>
            <w:proofErr w:type="spellStart"/>
            <w:r w:rsidRPr="00865BFF">
              <w:rPr>
                <w:rFonts w:asciiTheme="majorHAnsi" w:hAnsiTheme="majorHAnsi" w:cstheme="majorHAnsi"/>
              </w:rPr>
              <w:t>Radzely</w:t>
            </w:r>
            <w:proofErr w:type="spellEnd"/>
            <w:r w:rsidRPr="00865BFF">
              <w:rPr>
                <w:rFonts w:asciiTheme="majorHAnsi" w:hAnsiTheme="majorHAnsi" w:cstheme="majorHAnsi"/>
              </w:rPr>
              <w:t xml:space="preserve"> (2003 to 2007) - Deputy Solicitor for National Operations, Department of Labor; Senior Associate, Wiley, Rein &amp; Fielding; Clerk, Associate Justice of the Supreme Court Antonin Scalia</w:t>
            </w:r>
          </w:p>
        </w:tc>
      </w:tr>
    </w:tbl>
    <w:p w:rsidR="00224D1E" w:rsidRPr="00224D1E" w:rsidRDefault="00224D1E">
      <w:pPr>
        <w:rPr>
          <w:rFonts w:asciiTheme="majorHAnsi" w:hAnsiTheme="majorHAnsi" w:cstheme="majorHAnsi"/>
        </w:rPr>
      </w:pPr>
    </w:p>
    <w:sectPr w:rsidR="00224D1E" w:rsidRPr="00224D1E" w:rsidSect="008149B1">
      <w:headerReference w:type="even" r:id="rId11"/>
      <w:headerReference w:type="default" r:id="rId12"/>
      <w:footerReference w:type="even" r:id="rId13"/>
      <w:footerReference w:type="default" r:id="rId14"/>
      <w:headerReference w:type="first" r:id="rId15"/>
      <w:footerReference w:type="first" r:id="rId16"/>
      <w:pgSz w:w="12240" w:h="15840"/>
      <w:pgMar w:top="576" w:right="1368" w:bottom="2448" w:left="1296" w:header="288" w:footer="432" w:gutter="0"/>
      <w:cols w:space="21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781" w:rsidRDefault="000B3781" w:rsidP="001E22F1">
      <w:r>
        <w:separator/>
      </w:r>
    </w:p>
  </w:endnote>
  <w:endnote w:type="continuationSeparator" w:id="0">
    <w:p w:rsidR="000B3781" w:rsidRDefault="000B3781" w:rsidP="001E22F1">
      <w:r>
        <w:continuationSeparator/>
      </w:r>
    </w:p>
  </w:endnote>
  <w:endnote w:id="1">
    <w:p w:rsidR="00865BFF" w:rsidRDefault="00865BFF">
      <w:pPr>
        <w:pStyle w:val="EndnoteText"/>
      </w:pPr>
      <w:r>
        <w:rPr>
          <w:rStyle w:val="EndnoteReference"/>
        </w:rPr>
        <w:endnoteRef/>
      </w:r>
      <w:r>
        <w:t xml:space="preserve"> </w:t>
      </w:r>
      <w:r w:rsidR="004258DD">
        <w:t>The Consolidated Appropriations Act, 2017 (Public Law 115-31, May 5, 2017), contains a provision that continues the freeze on the payable pay rates for certain senior political officials at 2013 levels during calendar year 2017.</w:t>
      </w:r>
      <w:bookmarkStart w:id="2" w:name="_GoBack"/>
      <w:bookmarkEnd w:id="2"/>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Default="00B30DE2" w:rsidP="00B72A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9B1">
      <w:rPr>
        <w:rStyle w:val="PageNumber"/>
        <w:noProof/>
      </w:rPr>
      <w:t>2</w:t>
    </w:r>
    <w:r>
      <w:rPr>
        <w:rStyle w:val="PageNumber"/>
      </w:rPr>
      <w:fldChar w:fldCharType="end"/>
    </w:r>
  </w:p>
  <w:p w:rsidR="00B30DE2" w:rsidRDefault="00B30DE2" w:rsidP="00B72A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Default="00B30DE2" w:rsidP="009630CC">
    <w:pPr>
      <w:pStyle w:val="TGAppendixBodyHeaders"/>
      <w:pBdr>
        <w:top w:val="single" w:sz="2" w:space="10" w:color="auto"/>
      </w:pBdr>
      <w:spacing w:line="276" w:lineRule="auto"/>
      <w:ind w:left="40"/>
      <w:rPr>
        <w:rFonts w:ascii="Arial" w:hAnsi="Arial" w:cs="Arial"/>
      </w:rPr>
    </w:pPr>
    <w:r>
      <w:rPr>
        <w:rFonts w:ascii="Arial" w:hAnsi="Arial" w:cs="Arial"/>
        <w:noProof/>
      </w:rPr>
      <w:drawing>
        <wp:inline distT="0" distB="0" distL="0" distR="0" wp14:anchorId="4A592DB5" wp14:editId="4B0D12F2">
          <wp:extent cx="3049693" cy="34640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9693" cy="346405"/>
                  </a:xfrm>
                  <a:prstGeom prst="rect">
                    <a:avLst/>
                  </a:prstGeom>
                  <a:noFill/>
                  <a:ln>
                    <a:noFill/>
                  </a:ln>
                </pic:spPr>
              </pic:pic>
            </a:graphicData>
          </a:graphic>
        </wp:inline>
      </w:drawing>
    </w:r>
  </w:p>
  <w:p w:rsidR="00B30DE2" w:rsidRDefault="00B30DE2" w:rsidP="009630CC">
    <w:pPr>
      <w:pStyle w:val="TGAppendixBodyHeaders"/>
      <w:pBdr>
        <w:top w:val="single" w:sz="2" w:space="10" w:color="auto"/>
      </w:pBdr>
      <w:ind w:left="40"/>
      <w:rPr>
        <w:rFonts w:ascii="Arial" w:hAnsi="Arial" w:cs="Arial"/>
      </w:rPr>
    </w:pPr>
  </w:p>
  <w:p w:rsidR="00B30DE2" w:rsidRPr="009630CC" w:rsidRDefault="00B30DE2" w:rsidP="009630CC">
    <w:pPr>
      <w:pStyle w:val="TGAppendixBodyHeaders"/>
      <w:pBdr>
        <w:top w:val="single" w:sz="2" w:space="10" w:color="auto"/>
      </w:pBdr>
      <w:ind w:left="40"/>
      <w:rPr>
        <w:rFonts w:ascii="Arial" w:hAnsi="Arial" w:cs="Arial"/>
      </w:rPr>
    </w:pPr>
    <w:r w:rsidRPr="009630CC">
      <w:rPr>
        <w:rFonts w:ascii="Arial" w:hAnsi="Arial" w:cs="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rsidR="00B30DE2" w:rsidRPr="009630CC" w:rsidRDefault="00B30DE2" w:rsidP="009630CC">
    <w:pPr>
      <w:pStyle w:val="TGAppendixBodyHeaders"/>
      <w:pBdr>
        <w:top w:val="single" w:sz="2" w:space="10" w:color="auto"/>
      </w:pBdr>
      <w:ind w:left="40"/>
      <w:rPr>
        <w:rFonts w:ascii="Arial" w:hAnsi="Arial" w:cs="Arial"/>
      </w:rPr>
    </w:pPr>
  </w:p>
  <w:p w:rsidR="00B30DE2" w:rsidRPr="00B64A22" w:rsidRDefault="00B30DE2" w:rsidP="00B64A22">
    <w:pPr>
      <w:pStyle w:val="TGAppendixBodyHeaders"/>
      <w:ind w:left="40"/>
      <w:rPr>
        <w:rFonts w:ascii="Arial" w:hAnsi="Arial" w:cs="Arial"/>
        <w:b/>
      </w:rPr>
    </w:pPr>
    <w:r w:rsidRPr="009630CC">
      <w:rPr>
        <w:rFonts w:ascii="Arial" w:hAnsi="Arial" w:cs="Arial"/>
        <w:b/>
      </w:rPr>
      <w:t>For original transition documents and additional resources, templates and tools, visit presidentialtransition.org.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B64A22" w:rsidRDefault="00B30DE2" w:rsidP="00B64A22">
    <w:pPr>
      <w:pStyle w:val="Footer"/>
      <w:tabs>
        <w:tab w:val="clear" w:pos="4680"/>
      </w:tabs>
      <w:spacing w:line="276" w:lineRule="auto"/>
      <w:ind w:right="-216"/>
      <w:rPr>
        <w:rFonts w:ascii="Arial" w:hAnsi="Arial" w:cs="Arial"/>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781" w:rsidRDefault="000B3781" w:rsidP="001E22F1">
      <w:r>
        <w:separator/>
      </w:r>
    </w:p>
  </w:footnote>
  <w:footnote w:type="continuationSeparator" w:id="0">
    <w:p w:rsidR="000B3781" w:rsidRDefault="000B3781" w:rsidP="001E2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CA0F50" w:rsidRDefault="004258DD" w:rsidP="00CA0F50">
    <w:pPr>
      <w:pStyle w:val="Header"/>
      <w:jc w:val="right"/>
    </w:pPr>
    <w:sdt>
      <w:sdtPr>
        <w:rPr>
          <w:rFonts w:ascii="Calibri" w:hAnsi="Calibri"/>
          <w:bCs/>
          <w:caps/>
          <w:sz w:val="18"/>
          <w:szCs w:val="24"/>
        </w:rPr>
        <w:alias w:val="Title"/>
        <w:id w:val="-2021232155"/>
        <w:placeholder>
          <w:docPart w:val="E1EB6A399FF0614699F670867AB7DAA1"/>
        </w:placeholder>
        <w:dataBinding w:prefixMappings="xmlns:ns0='http://schemas.openxmlformats.org/package/2006/metadata/core-properties' xmlns:ns1='http://purl.org/dc/elements/1.1/'" w:xpath="/ns0:coreProperties[1]/ns1:title[1]" w:storeItemID="{6C3C8BC8-F283-45AE-878A-BAB7291924A1}"/>
        <w:text/>
      </w:sdtPr>
      <w:sdtEndPr/>
      <w:sdtContent>
        <w:r w:rsidR="00B30DE2">
          <w:rPr>
            <w:rFonts w:ascii="Calibri" w:hAnsi="Calibri"/>
            <w:bCs/>
            <w:caps/>
            <w:sz w:val="18"/>
            <w:szCs w:val="24"/>
          </w:rPr>
          <w:t>Update title in document properties</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207063" w:rsidRDefault="00B30DE2" w:rsidP="004D7D44">
    <w:pPr>
      <w:pStyle w:val="Header"/>
      <w:tabs>
        <w:tab w:val="clear" w:pos="4680"/>
      </w:tabs>
      <w:rPr>
        <w:rFonts w:ascii="Arial" w:hAnsi="Arial" w:cs="Arial"/>
        <w:cap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4960D6" w:rsidRDefault="00B30DE2" w:rsidP="00B64A22">
    <w:pPr>
      <w:pStyle w:val="Header"/>
      <w:tabs>
        <w:tab w:val="clear" w:pos="9360"/>
        <w:tab w:val="right" w:pos="8820"/>
      </w:tabs>
      <w:rPr>
        <w:rFonts w:ascii="Arial" w:hAnsi="Arial"/>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4D34"/>
    <w:multiLevelType w:val="hybridMultilevel"/>
    <w:tmpl w:val="3506897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83485"/>
    <w:multiLevelType w:val="hybridMultilevel"/>
    <w:tmpl w:val="31FA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263C6"/>
    <w:multiLevelType w:val="hybridMultilevel"/>
    <w:tmpl w:val="DB00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56A2E"/>
    <w:multiLevelType w:val="hybridMultilevel"/>
    <w:tmpl w:val="7CF07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207179"/>
    <w:multiLevelType w:val="hybridMultilevel"/>
    <w:tmpl w:val="76AC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4579A"/>
    <w:multiLevelType w:val="hybridMultilevel"/>
    <w:tmpl w:val="D5EE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F0B8A"/>
    <w:multiLevelType w:val="hybridMultilevel"/>
    <w:tmpl w:val="CCEC0556"/>
    <w:lvl w:ilvl="0" w:tplc="FD80AE94">
      <w:start w:val="1"/>
      <w:numFmt w:val="bullet"/>
      <w:lvlText w:val="•"/>
      <w:lvlJc w:val="left"/>
      <w:pPr>
        <w:tabs>
          <w:tab w:val="num" w:pos="360"/>
        </w:tabs>
        <w:ind w:left="360" w:hanging="360"/>
      </w:pPr>
      <w:rPr>
        <w:rFonts w:ascii="Arial" w:hAnsi="Arial" w:hint="default"/>
      </w:rPr>
    </w:lvl>
    <w:lvl w:ilvl="1" w:tplc="D68689F0" w:tentative="1">
      <w:start w:val="1"/>
      <w:numFmt w:val="bullet"/>
      <w:lvlText w:val="•"/>
      <w:lvlJc w:val="left"/>
      <w:pPr>
        <w:tabs>
          <w:tab w:val="num" w:pos="1080"/>
        </w:tabs>
        <w:ind w:left="1080" w:hanging="360"/>
      </w:pPr>
      <w:rPr>
        <w:rFonts w:ascii="Arial" w:hAnsi="Arial" w:hint="default"/>
      </w:rPr>
    </w:lvl>
    <w:lvl w:ilvl="2" w:tplc="31F265CC" w:tentative="1">
      <w:start w:val="1"/>
      <w:numFmt w:val="bullet"/>
      <w:lvlText w:val="•"/>
      <w:lvlJc w:val="left"/>
      <w:pPr>
        <w:tabs>
          <w:tab w:val="num" w:pos="1800"/>
        </w:tabs>
        <w:ind w:left="1800" w:hanging="360"/>
      </w:pPr>
      <w:rPr>
        <w:rFonts w:ascii="Arial" w:hAnsi="Arial" w:hint="default"/>
      </w:rPr>
    </w:lvl>
    <w:lvl w:ilvl="3" w:tplc="C6BA7C4E" w:tentative="1">
      <w:start w:val="1"/>
      <w:numFmt w:val="bullet"/>
      <w:lvlText w:val="•"/>
      <w:lvlJc w:val="left"/>
      <w:pPr>
        <w:tabs>
          <w:tab w:val="num" w:pos="2520"/>
        </w:tabs>
        <w:ind w:left="2520" w:hanging="360"/>
      </w:pPr>
      <w:rPr>
        <w:rFonts w:ascii="Arial" w:hAnsi="Arial" w:hint="default"/>
      </w:rPr>
    </w:lvl>
    <w:lvl w:ilvl="4" w:tplc="319EFB20" w:tentative="1">
      <w:start w:val="1"/>
      <w:numFmt w:val="bullet"/>
      <w:lvlText w:val="•"/>
      <w:lvlJc w:val="left"/>
      <w:pPr>
        <w:tabs>
          <w:tab w:val="num" w:pos="3240"/>
        </w:tabs>
        <w:ind w:left="3240" w:hanging="360"/>
      </w:pPr>
      <w:rPr>
        <w:rFonts w:ascii="Arial" w:hAnsi="Arial" w:hint="default"/>
      </w:rPr>
    </w:lvl>
    <w:lvl w:ilvl="5" w:tplc="BB927218" w:tentative="1">
      <w:start w:val="1"/>
      <w:numFmt w:val="bullet"/>
      <w:lvlText w:val="•"/>
      <w:lvlJc w:val="left"/>
      <w:pPr>
        <w:tabs>
          <w:tab w:val="num" w:pos="3960"/>
        </w:tabs>
        <w:ind w:left="3960" w:hanging="360"/>
      </w:pPr>
      <w:rPr>
        <w:rFonts w:ascii="Arial" w:hAnsi="Arial" w:hint="default"/>
      </w:rPr>
    </w:lvl>
    <w:lvl w:ilvl="6" w:tplc="62B2D27E" w:tentative="1">
      <w:start w:val="1"/>
      <w:numFmt w:val="bullet"/>
      <w:lvlText w:val="•"/>
      <w:lvlJc w:val="left"/>
      <w:pPr>
        <w:tabs>
          <w:tab w:val="num" w:pos="4680"/>
        </w:tabs>
        <w:ind w:left="4680" w:hanging="360"/>
      </w:pPr>
      <w:rPr>
        <w:rFonts w:ascii="Arial" w:hAnsi="Arial" w:hint="default"/>
      </w:rPr>
    </w:lvl>
    <w:lvl w:ilvl="7" w:tplc="BFCED066" w:tentative="1">
      <w:start w:val="1"/>
      <w:numFmt w:val="bullet"/>
      <w:lvlText w:val="•"/>
      <w:lvlJc w:val="left"/>
      <w:pPr>
        <w:tabs>
          <w:tab w:val="num" w:pos="5400"/>
        </w:tabs>
        <w:ind w:left="5400" w:hanging="360"/>
      </w:pPr>
      <w:rPr>
        <w:rFonts w:ascii="Arial" w:hAnsi="Arial" w:hint="default"/>
      </w:rPr>
    </w:lvl>
    <w:lvl w:ilvl="8" w:tplc="8A5EC62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C1916A3"/>
    <w:multiLevelType w:val="hybridMultilevel"/>
    <w:tmpl w:val="545C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35333"/>
    <w:multiLevelType w:val="hybridMultilevel"/>
    <w:tmpl w:val="4722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1679D"/>
    <w:multiLevelType w:val="hybridMultilevel"/>
    <w:tmpl w:val="8CFA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5398F"/>
    <w:multiLevelType w:val="hybridMultilevel"/>
    <w:tmpl w:val="7DCA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475BC"/>
    <w:multiLevelType w:val="hybridMultilevel"/>
    <w:tmpl w:val="21A4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02B14"/>
    <w:multiLevelType w:val="hybridMultilevel"/>
    <w:tmpl w:val="D59AF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DE314CB"/>
    <w:multiLevelType w:val="hybridMultilevel"/>
    <w:tmpl w:val="E5988168"/>
    <w:lvl w:ilvl="0" w:tplc="EFF8AA64">
      <w:start w:val="1"/>
      <w:numFmt w:val="bullet"/>
      <w:lvlText w:val="•"/>
      <w:lvlJc w:val="left"/>
      <w:pPr>
        <w:tabs>
          <w:tab w:val="num" w:pos="360"/>
        </w:tabs>
        <w:ind w:left="360" w:hanging="360"/>
      </w:pPr>
      <w:rPr>
        <w:rFonts w:ascii="Arial" w:hAnsi="Arial" w:hint="default"/>
      </w:rPr>
    </w:lvl>
    <w:lvl w:ilvl="1" w:tplc="48D21606" w:tentative="1">
      <w:start w:val="1"/>
      <w:numFmt w:val="bullet"/>
      <w:lvlText w:val="•"/>
      <w:lvlJc w:val="left"/>
      <w:pPr>
        <w:tabs>
          <w:tab w:val="num" w:pos="1080"/>
        </w:tabs>
        <w:ind w:left="1080" w:hanging="360"/>
      </w:pPr>
      <w:rPr>
        <w:rFonts w:ascii="Arial" w:hAnsi="Arial" w:hint="default"/>
      </w:rPr>
    </w:lvl>
    <w:lvl w:ilvl="2" w:tplc="3F1A3288" w:tentative="1">
      <w:start w:val="1"/>
      <w:numFmt w:val="bullet"/>
      <w:lvlText w:val="•"/>
      <w:lvlJc w:val="left"/>
      <w:pPr>
        <w:tabs>
          <w:tab w:val="num" w:pos="1800"/>
        </w:tabs>
        <w:ind w:left="1800" w:hanging="360"/>
      </w:pPr>
      <w:rPr>
        <w:rFonts w:ascii="Arial" w:hAnsi="Arial" w:hint="default"/>
      </w:rPr>
    </w:lvl>
    <w:lvl w:ilvl="3" w:tplc="142A0700" w:tentative="1">
      <w:start w:val="1"/>
      <w:numFmt w:val="bullet"/>
      <w:lvlText w:val="•"/>
      <w:lvlJc w:val="left"/>
      <w:pPr>
        <w:tabs>
          <w:tab w:val="num" w:pos="2520"/>
        </w:tabs>
        <w:ind w:left="2520" w:hanging="360"/>
      </w:pPr>
      <w:rPr>
        <w:rFonts w:ascii="Arial" w:hAnsi="Arial" w:hint="default"/>
      </w:rPr>
    </w:lvl>
    <w:lvl w:ilvl="4" w:tplc="C936B20C" w:tentative="1">
      <w:start w:val="1"/>
      <w:numFmt w:val="bullet"/>
      <w:lvlText w:val="•"/>
      <w:lvlJc w:val="left"/>
      <w:pPr>
        <w:tabs>
          <w:tab w:val="num" w:pos="3240"/>
        </w:tabs>
        <w:ind w:left="3240" w:hanging="360"/>
      </w:pPr>
      <w:rPr>
        <w:rFonts w:ascii="Arial" w:hAnsi="Arial" w:hint="default"/>
      </w:rPr>
    </w:lvl>
    <w:lvl w:ilvl="5" w:tplc="29E80B30" w:tentative="1">
      <w:start w:val="1"/>
      <w:numFmt w:val="bullet"/>
      <w:lvlText w:val="•"/>
      <w:lvlJc w:val="left"/>
      <w:pPr>
        <w:tabs>
          <w:tab w:val="num" w:pos="3960"/>
        </w:tabs>
        <w:ind w:left="3960" w:hanging="360"/>
      </w:pPr>
      <w:rPr>
        <w:rFonts w:ascii="Arial" w:hAnsi="Arial" w:hint="default"/>
      </w:rPr>
    </w:lvl>
    <w:lvl w:ilvl="6" w:tplc="A57E3BF6" w:tentative="1">
      <w:start w:val="1"/>
      <w:numFmt w:val="bullet"/>
      <w:lvlText w:val="•"/>
      <w:lvlJc w:val="left"/>
      <w:pPr>
        <w:tabs>
          <w:tab w:val="num" w:pos="4680"/>
        </w:tabs>
        <w:ind w:left="4680" w:hanging="360"/>
      </w:pPr>
      <w:rPr>
        <w:rFonts w:ascii="Arial" w:hAnsi="Arial" w:hint="default"/>
      </w:rPr>
    </w:lvl>
    <w:lvl w:ilvl="7" w:tplc="B3D20956" w:tentative="1">
      <w:start w:val="1"/>
      <w:numFmt w:val="bullet"/>
      <w:lvlText w:val="•"/>
      <w:lvlJc w:val="left"/>
      <w:pPr>
        <w:tabs>
          <w:tab w:val="num" w:pos="5400"/>
        </w:tabs>
        <w:ind w:left="5400" w:hanging="360"/>
      </w:pPr>
      <w:rPr>
        <w:rFonts w:ascii="Arial" w:hAnsi="Arial" w:hint="default"/>
      </w:rPr>
    </w:lvl>
    <w:lvl w:ilvl="8" w:tplc="8D4AEE7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6C42BC8"/>
    <w:multiLevelType w:val="hybridMultilevel"/>
    <w:tmpl w:val="A1CE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F27E8"/>
    <w:multiLevelType w:val="multilevel"/>
    <w:tmpl w:val="74EA91A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EC4B92"/>
    <w:multiLevelType w:val="hybridMultilevel"/>
    <w:tmpl w:val="EA8481F0"/>
    <w:lvl w:ilvl="0" w:tplc="C380AE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45399"/>
    <w:multiLevelType w:val="hybridMultilevel"/>
    <w:tmpl w:val="B05C42A2"/>
    <w:lvl w:ilvl="0" w:tplc="64C69B2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A80FE2"/>
    <w:multiLevelType w:val="hybridMultilevel"/>
    <w:tmpl w:val="16BEF81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9" w15:restartNumberingAfterBreak="0">
    <w:nsid w:val="44844D57"/>
    <w:multiLevelType w:val="hybridMultilevel"/>
    <w:tmpl w:val="AED8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93236B"/>
    <w:multiLevelType w:val="hybridMultilevel"/>
    <w:tmpl w:val="DD50C6EE"/>
    <w:lvl w:ilvl="0" w:tplc="6C24427A">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CA7B97"/>
    <w:multiLevelType w:val="hybridMultilevel"/>
    <w:tmpl w:val="5F3CD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B205B6A"/>
    <w:multiLevelType w:val="hybridMultilevel"/>
    <w:tmpl w:val="87184304"/>
    <w:lvl w:ilvl="0" w:tplc="62CCC09E">
      <w:start w:val="1"/>
      <w:numFmt w:val="bullet"/>
      <w:lvlText w:val="•"/>
      <w:lvlJc w:val="left"/>
      <w:pPr>
        <w:tabs>
          <w:tab w:val="num" w:pos="720"/>
        </w:tabs>
        <w:ind w:left="720" w:hanging="360"/>
      </w:pPr>
      <w:rPr>
        <w:rFonts w:ascii="Arial" w:hAnsi="Arial" w:hint="default"/>
      </w:rPr>
    </w:lvl>
    <w:lvl w:ilvl="1" w:tplc="13D40176" w:tentative="1">
      <w:start w:val="1"/>
      <w:numFmt w:val="bullet"/>
      <w:lvlText w:val="•"/>
      <w:lvlJc w:val="left"/>
      <w:pPr>
        <w:tabs>
          <w:tab w:val="num" w:pos="1440"/>
        </w:tabs>
        <w:ind w:left="1440" w:hanging="360"/>
      </w:pPr>
      <w:rPr>
        <w:rFonts w:ascii="Arial" w:hAnsi="Arial" w:hint="default"/>
      </w:rPr>
    </w:lvl>
    <w:lvl w:ilvl="2" w:tplc="62585B76" w:tentative="1">
      <w:start w:val="1"/>
      <w:numFmt w:val="bullet"/>
      <w:lvlText w:val="•"/>
      <w:lvlJc w:val="left"/>
      <w:pPr>
        <w:tabs>
          <w:tab w:val="num" w:pos="2160"/>
        </w:tabs>
        <w:ind w:left="2160" w:hanging="360"/>
      </w:pPr>
      <w:rPr>
        <w:rFonts w:ascii="Arial" w:hAnsi="Arial" w:hint="default"/>
      </w:rPr>
    </w:lvl>
    <w:lvl w:ilvl="3" w:tplc="266679A8" w:tentative="1">
      <w:start w:val="1"/>
      <w:numFmt w:val="bullet"/>
      <w:lvlText w:val="•"/>
      <w:lvlJc w:val="left"/>
      <w:pPr>
        <w:tabs>
          <w:tab w:val="num" w:pos="2880"/>
        </w:tabs>
        <w:ind w:left="2880" w:hanging="360"/>
      </w:pPr>
      <w:rPr>
        <w:rFonts w:ascii="Arial" w:hAnsi="Arial" w:hint="default"/>
      </w:rPr>
    </w:lvl>
    <w:lvl w:ilvl="4" w:tplc="A4CE038E" w:tentative="1">
      <w:start w:val="1"/>
      <w:numFmt w:val="bullet"/>
      <w:lvlText w:val="•"/>
      <w:lvlJc w:val="left"/>
      <w:pPr>
        <w:tabs>
          <w:tab w:val="num" w:pos="3600"/>
        </w:tabs>
        <w:ind w:left="3600" w:hanging="360"/>
      </w:pPr>
      <w:rPr>
        <w:rFonts w:ascii="Arial" w:hAnsi="Arial" w:hint="default"/>
      </w:rPr>
    </w:lvl>
    <w:lvl w:ilvl="5" w:tplc="C23AB8E8" w:tentative="1">
      <w:start w:val="1"/>
      <w:numFmt w:val="bullet"/>
      <w:lvlText w:val="•"/>
      <w:lvlJc w:val="left"/>
      <w:pPr>
        <w:tabs>
          <w:tab w:val="num" w:pos="4320"/>
        </w:tabs>
        <w:ind w:left="4320" w:hanging="360"/>
      </w:pPr>
      <w:rPr>
        <w:rFonts w:ascii="Arial" w:hAnsi="Arial" w:hint="default"/>
      </w:rPr>
    </w:lvl>
    <w:lvl w:ilvl="6" w:tplc="37121460" w:tentative="1">
      <w:start w:val="1"/>
      <w:numFmt w:val="bullet"/>
      <w:lvlText w:val="•"/>
      <w:lvlJc w:val="left"/>
      <w:pPr>
        <w:tabs>
          <w:tab w:val="num" w:pos="5040"/>
        </w:tabs>
        <w:ind w:left="5040" w:hanging="360"/>
      </w:pPr>
      <w:rPr>
        <w:rFonts w:ascii="Arial" w:hAnsi="Arial" w:hint="default"/>
      </w:rPr>
    </w:lvl>
    <w:lvl w:ilvl="7" w:tplc="1794E7F6" w:tentative="1">
      <w:start w:val="1"/>
      <w:numFmt w:val="bullet"/>
      <w:lvlText w:val="•"/>
      <w:lvlJc w:val="left"/>
      <w:pPr>
        <w:tabs>
          <w:tab w:val="num" w:pos="5760"/>
        </w:tabs>
        <w:ind w:left="5760" w:hanging="360"/>
      </w:pPr>
      <w:rPr>
        <w:rFonts w:ascii="Arial" w:hAnsi="Arial" w:hint="default"/>
      </w:rPr>
    </w:lvl>
    <w:lvl w:ilvl="8" w:tplc="7AF0BE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B997583"/>
    <w:multiLevelType w:val="hybridMultilevel"/>
    <w:tmpl w:val="EDB4A66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4" w15:restartNumberingAfterBreak="0">
    <w:nsid w:val="4E2A5D9B"/>
    <w:multiLevelType w:val="hybridMultilevel"/>
    <w:tmpl w:val="94C6DF66"/>
    <w:lvl w:ilvl="0" w:tplc="08B8F250">
      <w:start w:val="1"/>
      <w:numFmt w:val="bullet"/>
      <w:lvlText w:val="•"/>
      <w:lvlJc w:val="left"/>
      <w:pPr>
        <w:tabs>
          <w:tab w:val="num" w:pos="720"/>
        </w:tabs>
        <w:ind w:left="720" w:hanging="360"/>
      </w:pPr>
      <w:rPr>
        <w:rFonts w:ascii="Arial" w:hAnsi="Arial" w:hint="default"/>
      </w:rPr>
    </w:lvl>
    <w:lvl w:ilvl="1" w:tplc="8E3E49BC" w:tentative="1">
      <w:start w:val="1"/>
      <w:numFmt w:val="bullet"/>
      <w:lvlText w:val="•"/>
      <w:lvlJc w:val="left"/>
      <w:pPr>
        <w:tabs>
          <w:tab w:val="num" w:pos="1440"/>
        </w:tabs>
        <w:ind w:left="1440" w:hanging="360"/>
      </w:pPr>
      <w:rPr>
        <w:rFonts w:ascii="Arial" w:hAnsi="Arial" w:hint="default"/>
      </w:rPr>
    </w:lvl>
    <w:lvl w:ilvl="2" w:tplc="369A2AC4" w:tentative="1">
      <w:start w:val="1"/>
      <w:numFmt w:val="bullet"/>
      <w:lvlText w:val="•"/>
      <w:lvlJc w:val="left"/>
      <w:pPr>
        <w:tabs>
          <w:tab w:val="num" w:pos="2160"/>
        </w:tabs>
        <w:ind w:left="2160" w:hanging="360"/>
      </w:pPr>
      <w:rPr>
        <w:rFonts w:ascii="Arial" w:hAnsi="Arial" w:hint="default"/>
      </w:rPr>
    </w:lvl>
    <w:lvl w:ilvl="3" w:tplc="2B6A0214" w:tentative="1">
      <w:start w:val="1"/>
      <w:numFmt w:val="bullet"/>
      <w:lvlText w:val="•"/>
      <w:lvlJc w:val="left"/>
      <w:pPr>
        <w:tabs>
          <w:tab w:val="num" w:pos="2880"/>
        </w:tabs>
        <w:ind w:left="2880" w:hanging="360"/>
      </w:pPr>
      <w:rPr>
        <w:rFonts w:ascii="Arial" w:hAnsi="Arial" w:hint="default"/>
      </w:rPr>
    </w:lvl>
    <w:lvl w:ilvl="4" w:tplc="28ACDBC2" w:tentative="1">
      <w:start w:val="1"/>
      <w:numFmt w:val="bullet"/>
      <w:lvlText w:val="•"/>
      <w:lvlJc w:val="left"/>
      <w:pPr>
        <w:tabs>
          <w:tab w:val="num" w:pos="3600"/>
        </w:tabs>
        <w:ind w:left="3600" w:hanging="360"/>
      </w:pPr>
      <w:rPr>
        <w:rFonts w:ascii="Arial" w:hAnsi="Arial" w:hint="default"/>
      </w:rPr>
    </w:lvl>
    <w:lvl w:ilvl="5" w:tplc="2C0E8C86" w:tentative="1">
      <w:start w:val="1"/>
      <w:numFmt w:val="bullet"/>
      <w:lvlText w:val="•"/>
      <w:lvlJc w:val="left"/>
      <w:pPr>
        <w:tabs>
          <w:tab w:val="num" w:pos="4320"/>
        </w:tabs>
        <w:ind w:left="4320" w:hanging="360"/>
      </w:pPr>
      <w:rPr>
        <w:rFonts w:ascii="Arial" w:hAnsi="Arial" w:hint="default"/>
      </w:rPr>
    </w:lvl>
    <w:lvl w:ilvl="6" w:tplc="58229374" w:tentative="1">
      <w:start w:val="1"/>
      <w:numFmt w:val="bullet"/>
      <w:lvlText w:val="•"/>
      <w:lvlJc w:val="left"/>
      <w:pPr>
        <w:tabs>
          <w:tab w:val="num" w:pos="5040"/>
        </w:tabs>
        <w:ind w:left="5040" w:hanging="360"/>
      </w:pPr>
      <w:rPr>
        <w:rFonts w:ascii="Arial" w:hAnsi="Arial" w:hint="default"/>
      </w:rPr>
    </w:lvl>
    <w:lvl w:ilvl="7" w:tplc="6A20ADD0" w:tentative="1">
      <w:start w:val="1"/>
      <w:numFmt w:val="bullet"/>
      <w:lvlText w:val="•"/>
      <w:lvlJc w:val="left"/>
      <w:pPr>
        <w:tabs>
          <w:tab w:val="num" w:pos="5760"/>
        </w:tabs>
        <w:ind w:left="5760" w:hanging="360"/>
      </w:pPr>
      <w:rPr>
        <w:rFonts w:ascii="Arial" w:hAnsi="Arial" w:hint="default"/>
      </w:rPr>
    </w:lvl>
    <w:lvl w:ilvl="8" w:tplc="704C941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E9D2DCB"/>
    <w:multiLevelType w:val="hybridMultilevel"/>
    <w:tmpl w:val="B80E6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76367E"/>
    <w:multiLevelType w:val="hybridMultilevel"/>
    <w:tmpl w:val="6BECA16E"/>
    <w:lvl w:ilvl="0" w:tplc="64C69B2C">
      <w:start w:val="1"/>
      <w:numFmt w:val="bullet"/>
      <w:lvlText w:val="•"/>
      <w:lvlJc w:val="left"/>
      <w:pPr>
        <w:tabs>
          <w:tab w:val="num" w:pos="720"/>
        </w:tabs>
        <w:ind w:left="720" w:hanging="360"/>
      </w:pPr>
      <w:rPr>
        <w:rFonts w:ascii="Arial" w:hAnsi="Arial" w:hint="default"/>
      </w:rPr>
    </w:lvl>
    <w:lvl w:ilvl="1" w:tplc="8FC278C8" w:tentative="1">
      <w:start w:val="1"/>
      <w:numFmt w:val="bullet"/>
      <w:lvlText w:val="•"/>
      <w:lvlJc w:val="left"/>
      <w:pPr>
        <w:tabs>
          <w:tab w:val="num" w:pos="1440"/>
        </w:tabs>
        <w:ind w:left="1440" w:hanging="360"/>
      </w:pPr>
      <w:rPr>
        <w:rFonts w:ascii="Arial" w:hAnsi="Arial" w:hint="default"/>
      </w:rPr>
    </w:lvl>
    <w:lvl w:ilvl="2" w:tplc="22F43AF2" w:tentative="1">
      <w:start w:val="1"/>
      <w:numFmt w:val="bullet"/>
      <w:lvlText w:val="•"/>
      <w:lvlJc w:val="left"/>
      <w:pPr>
        <w:tabs>
          <w:tab w:val="num" w:pos="2160"/>
        </w:tabs>
        <w:ind w:left="2160" w:hanging="360"/>
      </w:pPr>
      <w:rPr>
        <w:rFonts w:ascii="Arial" w:hAnsi="Arial" w:hint="default"/>
      </w:rPr>
    </w:lvl>
    <w:lvl w:ilvl="3" w:tplc="ACD26E66" w:tentative="1">
      <w:start w:val="1"/>
      <w:numFmt w:val="bullet"/>
      <w:lvlText w:val="•"/>
      <w:lvlJc w:val="left"/>
      <w:pPr>
        <w:tabs>
          <w:tab w:val="num" w:pos="2880"/>
        </w:tabs>
        <w:ind w:left="2880" w:hanging="360"/>
      </w:pPr>
      <w:rPr>
        <w:rFonts w:ascii="Arial" w:hAnsi="Arial" w:hint="default"/>
      </w:rPr>
    </w:lvl>
    <w:lvl w:ilvl="4" w:tplc="D5524D14" w:tentative="1">
      <w:start w:val="1"/>
      <w:numFmt w:val="bullet"/>
      <w:lvlText w:val="•"/>
      <w:lvlJc w:val="left"/>
      <w:pPr>
        <w:tabs>
          <w:tab w:val="num" w:pos="3600"/>
        </w:tabs>
        <w:ind w:left="3600" w:hanging="360"/>
      </w:pPr>
      <w:rPr>
        <w:rFonts w:ascii="Arial" w:hAnsi="Arial" w:hint="default"/>
      </w:rPr>
    </w:lvl>
    <w:lvl w:ilvl="5" w:tplc="90629B54" w:tentative="1">
      <w:start w:val="1"/>
      <w:numFmt w:val="bullet"/>
      <w:lvlText w:val="•"/>
      <w:lvlJc w:val="left"/>
      <w:pPr>
        <w:tabs>
          <w:tab w:val="num" w:pos="4320"/>
        </w:tabs>
        <w:ind w:left="4320" w:hanging="360"/>
      </w:pPr>
      <w:rPr>
        <w:rFonts w:ascii="Arial" w:hAnsi="Arial" w:hint="default"/>
      </w:rPr>
    </w:lvl>
    <w:lvl w:ilvl="6" w:tplc="711CD0C2" w:tentative="1">
      <w:start w:val="1"/>
      <w:numFmt w:val="bullet"/>
      <w:lvlText w:val="•"/>
      <w:lvlJc w:val="left"/>
      <w:pPr>
        <w:tabs>
          <w:tab w:val="num" w:pos="5040"/>
        </w:tabs>
        <w:ind w:left="5040" w:hanging="360"/>
      </w:pPr>
      <w:rPr>
        <w:rFonts w:ascii="Arial" w:hAnsi="Arial" w:hint="default"/>
      </w:rPr>
    </w:lvl>
    <w:lvl w:ilvl="7" w:tplc="1ACA2496" w:tentative="1">
      <w:start w:val="1"/>
      <w:numFmt w:val="bullet"/>
      <w:lvlText w:val="•"/>
      <w:lvlJc w:val="left"/>
      <w:pPr>
        <w:tabs>
          <w:tab w:val="num" w:pos="5760"/>
        </w:tabs>
        <w:ind w:left="5760" w:hanging="360"/>
      </w:pPr>
      <w:rPr>
        <w:rFonts w:ascii="Arial" w:hAnsi="Arial" w:hint="default"/>
      </w:rPr>
    </w:lvl>
    <w:lvl w:ilvl="8" w:tplc="D302A41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A94530"/>
    <w:multiLevelType w:val="multilevel"/>
    <w:tmpl w:val="0BFAF2F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807480"/>
    <w:multiLevelType w:val="hybridMultilevel"/>
    <w:tmpl w:val="510A4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6B2FF6"/>
    <w:multiLevelType w:val="hybridMultilevel"/>
    <w:tmpl w:val="7E9CABF4"/>
    <w:lvl w:ilvl="0" w:tplc="40B60750">
      <w:start w:val="1"/>
      <w:numFmt w:val="bullet"/>
      <w:lvlText w:val="•"/>
      <w:lvlJc w:val="left"/>
      <w:pPr>
        <w:tabs>
          <w:tab w:val="num" w:pos="720"/>
        </w:tabs>
        <w:ind w:left="720" w:hanging="360"/>
      </w:pPr>
      <w:rPr>
        <w:rFonts w:ascii="Arial" w:hAnsi="Arial" w:hint="default"/>
      </w:rPr>
    </w:lvl>
    <w:lvl w:ilvl="1" w:tplc="05D2C146" w:tentative="1">
      <w:start w:val="1"/>
      <w:numFmt w:val="bullet"/>
      <w:lvlText w:val="•"/>
      <w:lvlJc w:val="left"/>
      <w:pPr>
        <w:tabs>
          <w:tab w:val="num" w:pos="1440"/>
        </w:tabs>
        <w:ind w:left="1440" w:hanging="360"/>
      </w:pPr>
      <w:rPr>
        <w:rFonts w:ascii="Arial" w:hAnsi="Arial" w:hint="default"/>
      </w:rPr>
    </w:lvl>
    <w:lvl w:ilvl="2" w:tplc="479207D8" w:tentative="1">
      <w:start w:val="1"/>
      <w:numFmt w:val="bullet"/>
      <w:lvlText w:val="•"/>
      <w:lvlJc w:val="left"/>
      <w:pPr>
        <w:tabs>
          <w:tab w:val="num" w:pos="2160"/>
        </w:tabs>
        <w:ind w:left="2160" w:hanging="360"/>
      </w:pPr>
      <w:rPr>
        <w:rFonts w:ascii="Arial" w:hAnsi="Arial" w:hint="default"/>
      </w:rPr>
    </w:lvl>
    <w:lvl w:ilvl="3" w:tplc="61D808B2" w:tentative="1">
      <w:start w:val="1"/>
      <w:numFmt w:val="bullet"/>
      <w:lvlText w:val="•"/>
      <w:lvlJc w:val="left"/>
      <w:pPr>
        <w:tabs>
          <w:tab w:val="num" w:pos="2880"/>
        </w:tabs>
        <w:ind w:left="2880" w:hanging="360"/>
      </w:pPr>
      <w:rPr>
        <w:rFonts w:ascii="Arial" w:hAnsi="Arial" w:hint="default"/>
      </w:rPr>
    </w:lvl>
    <w:lvl w:ilvl="4" w:tplc="FB0CC380" w:tentative="1">
      <w:start w:val="1"/>
      <w:numFmt w:val="bullet"/>
      <w:lvlText w:val="•"/>
      <w:lvlJc w:val="left"/>
      <w:pPr>
        <w:tabs>
          <w:tab w:val="num" w:pos="3600"/>
        </w:tabs>
        <w:ind w:left="3600" w:hanging="360"/>
      </w:pPr>
      <w:rPr>
        <w:rFonts w:ascii="Arial" w:hAnsi="Arial" w:hint="default"/>
      </w:rPr>
    </w:lvl>
    <w:lvl w:ilvl="5" w:tplc="9F7261E0" w:tentative="1">
      <w:start w:val="1"/>
      <w:numFmt w:val="bullet"/>
      <w:lvlText w:val="•"/>
      <w:lvlJc w:val="left"/>
      <w:pPr>
        <w:tabs>
          <w:tab w:val="num" w:pos="4320"/>
        </w:tabs>
        <w:ind w:left="4320" w:hanging="360"/>
      </w:pPr>
      <w:rPr>
        <w:rFonts w:ascii="Arial" w:hAnsi="Arial" w:hint="default"/>
      </w:rPr>
    </w:lvl>
    <w:lvl w:ilvl="6" w:tplc="3F5AD2A8" w:tentative="1">
      <w:start w:val="1"/>
      <w:numFmt w:val="bullet"/>
      <w:lvlText w:val="•"/>
      <w:lvlJc w:val="left"/>
      <w:pPr>
        <w:tabs>
          <w:tab w:val="num" w:pos="5040"/>
        </w:tabs>
        <w:ind w:left="5040" w:hanging="360"/>
      </w:pPr>
      <w:rPr>
        <w:rFonts w:ascii="Arial" w:hAnsi="Arial" w:hint="default"/>
      </w:rPr>
    </w:lvl>
    <w:lvl w:ilvl="7" w:tplc="04D25CD4" w:tentative="1">
      <w:start w:val="1"/>
      <w:numFmt w:val="bullet"/>
      <w:lvlText w:val="•"/>
      <w:lvlJc w:val="left"/>
      <w:pPr>
        <w:tabs>
          <w:tab w:val="num" w:pos="5760"/>
        </w:tabs>
        <w:ind w:left="5760" w:hanging="360"/>
      </w:pPr>
      <w:rPr>
        <w:rFonts w:ascii="Arial" w:hAnsi="Arial" w:hint="default"/>
      </w:rPr>
    </w:lvl>
    <w:lvl w:ilvl="8" w:tplc="8BB2990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2052ED4"/>
    <w:multiLevelType w:val="hybridMultilevel"/>
    <w:tmpl w:val="247E5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99755E"/>
    <w:multiLevelType w:val="hybridMultilevel"/>
    <w:tmpl w:val="B6FEA46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7B255DE"/>
    <w:multiLevelType w:val="hybridMultilevel"/>
    <w:tmpl w:val="C82EFF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250A24"/>
    <w:multiLevelType w:val="hybridMultilevel"/>
    <w:tmpl w:val="5B3A4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A03A3"/>
    <w:multiLevelType w:val="hybridMultilevel"/>
    <w:tmpl w:val="44FA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A84413"/>
    <w:multiLevelType w:val="multilevel"/>
    <w:tmpl w:val="B9C091B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CC32DD"/>
    <w:multiLevelType w:val="hybridMultilevel"/>
    <w:tmpl w:val="1D0A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C2CB9"/>
    <w:multiLevelType w:val="hybridMultilevel"/>
    <w:tmpl w:val="DF80D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654135"/>
    <w:multiLevelType w:val="hybridMultilevel"/>
    <w:tmpl w:val="FAF8ABD0"/>
    <w:lvl w:ilvl="0" w:tplc="E44CF7E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D4C68"/>
    <w:multiLevelType w:val="hybridMultilevel"/>
    <w:tmpl w:val="CEDC8C7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9516B8"/>
    <w:multiLevelType w:val="hybridMultilevel"/>
    <w:tmpl w:val="9D2E83B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37500"/>
    <w:multiLevelType w:val="hybridMultilevel"/>
    <w:tmpl w:val="914A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11"/>
  </w:num>
  <w:num w:numId="4">
    <w:abstractNumId w:val="41"/>
  </w:num>
  <w:num w:numId="5">
    <w:abstractNumId w:val="5"/>
  </w:num>
  <w:num w:numId="6">
    <w:abstractNumId w:val="37"/>
  </w:num>
  <w:num w:numId="7">
    <w:abstractNumId w:val="4"/>
  </w:num>
  <w:num w:numId="8">
    <w:abstractNumId w:val="32"/>
  </w:num>
  <w:num w:numId="9">
    <w:abstractNumId w:val="14"/>
  </w:num>
  <w:num w:numId="10">
    <w:abstractNumId w:val="6"/>
  </w:num>
  <w:num w:numId="11">
    <w:abstractNumId w:val="13"/>
  </w:num>
  <w:num w:numId="12">
    <w:abstractNumId w:val="24"/>
  </w:num>
  <w:num w:numId="13">
    <w:abstractNumId w:val="22"/>
  </w:num>
  <w:num w:numId="14">
    <w:abstractNumId w:val="26"/>
  </w:num>
  <w:num w:numId="15">
    <w:abstractNumId w:val="29"/>
  </w:num>
  <w:num w:numId="16">
    <w:abstractNumId w:val="1"/>
  </w:num>
  <w:num w:numId="17">
    <w:abstractNumId w:val="19"/>
  </w:num>
  <w:num w:numId="18">
    <w:abstractNumId w:val="36"/>
  </w:num>
  <w:num w:numId="19">
    <w:abstractNumId w:val="8"/>
  </w:num>
  <w:num w:numId="20">
    <w:abstractNumId w:val="28"/>
  </w:num>
  <w:num w:numId="21">
    <w:abstractNumId w:val="33"/>
  </w:num>
  <w:num w:numId="22">
    <w:abstractNumId w:val="10"/>
  </w:num>
  <w:num w:numId="23">
    <w:abstractNumId w:val="7"/>
  </w:num>
  <w:num w:numId="24">
    <w:abstractNumId w:val="34"/>
  </w:num>
  <w:num w:numId="25">
    <w:abstractNumId w:val="12"/>
  </w:num>
  <w:num w:numId="26">
    <w:abstractNumId w:val="2"/>
  </w:num>
  <w:num w:numId="27">
    <w:abstractNumId w:val="20"/>
  </w:num>
  <w:num w:numId="28">
    <w:abstractNumId w:val="17"/>
  </w:num>
  <w:num w:numId="29">
    <w:abstractNumId w:val="21"/>
  </w:num>
  <w:num w:numId="30">
    <w:abstractNumId w:val="31"/>
  </w:num>
  <w:num w:numId="31">
    <w:abstractNumId w:val="39"/>
  </w:num>
  <w:num w:numId="32">
    <w:abstractNumId w:val="40"/>
  </w:num>
  <w:num w:numId="33">
    <w:abstractNumId w:val="9"/>
  </w:num>
  <w:num w:numId="34">
    <w:abstractNumId w:val="0"/>
  </w:num>
  <w:num w:numId="35">
    <w:abstractNumId w:val="30"/>
  </w:num>
  <w:num w:numId="36">
    <w:abstractNumId w:val="23"/>
  </w:num>
  <w:num w:numId="37">
    <w:abstractNumId w:val="25"/>
  </w:num>
  <w:num w:numId="38">
    <w:abstractNumId w:val="18"/>
  </w:num>
  <w:num w:numId="39">
    <w:abstractNumId w:val="27"/>
  </w:num>
  <w:num w:numId="40">
    <w:abstractNumId w:val="15"/>
  </w:num>
  <w:num w:numId="41">
    <w:abstractNumId w:val="35"/>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CFC"/>
    <w:rsid w:val="00005556"/>
    <w:rsid w:val="000078FD"/>
    <w:rsid w:val="000126AC"/>
    <w:rsid w:val="00016839"/>
    <w:rsid w:val="00017A44"/>
    <w:rsid w:val="00021B49"/>
    <w:rsid w:val="000221E0"/>
    <w:rsid w:val="00023CFC"/>
    <w:rsid w:val="00034730"/>
    <w:rsid w:val="0004519C"/>
    <w:rsid w:val="0005100D"/>
    <w:rsid w:val="000653B0"/>
    <w:rsid w:val="0006648F"/>
    <w:rsid w:val="00073701"/>
    <w:rsid w:val="0007480D"/>
    <w:rsid w:val="00076645"/>
    <w:rsid w:val="00080E76"/>
    <w:rsid w:val="000846D6"/>
    <w:rsid w:val="0008706F"/>
    <w:rsid w:val="00087A28"/>
    <w:rsid w:val="000A0629"/>
    <w:rsid w:val="000A0E94"/>
    <w:rsid w:val="000A35C6"/>
    <w:rsid w:val="000B0938"/>
    <w:rsid w:val="000B0F7D"/>
    <w:rsid w:val="000B3130"/>
    <w:rsid w:val="000B3595"/>
    <w:rsid w:val="000B3781"/>
    <w:rsid w:val="000B3BCB"/>
    <w:rsid w:val="000B5E2B"/>
    <w:rsid w:val="000C53FD"/>
    <w:rsid w:val="000D1780"/>
    <w:rsid w:val="000D2778"/>
    <w:rsid w:val="000E0157"/>
    <w:rsid w:val="000E05E6"/>
    <w:rsid w:val="000E398B"/>
    <w:rsid w:val="000E399D"/>
    <w:rsid w:val="000F0F0A"/>
    <w:rsid w:val="000F2228"/>
    <w:rsid w:val="000F3659"/>
    <w:rsid w:val="000F3B5D"/>
    <w:rsid w:val="000F6976"/>
    <w:rsid w:val="000F69F1"/>
    <w:rsid w:val="00106C24"/>
    <w:rsid w:val="001150DF"/>
    <w:rsid w:val="0012306F"/>
    <w:rsid w:val="00125E3B"/>
    <w:rsid w:val="00125E46"/>
    <w:rsid w:val="0012723C"/>
    <w:rsid w:val="00134D8D"/>
    <w:rsid w:val="00136A97"/>
    <w:rsid w:val="00137365"/>
    <w:rsid w:val="0014081B"/>
    <w:rsid w:val="00150E02"/>
    <w:rsid w:val="00160969"/>
    <w:rsid w:val="00160F21"/>
    <w:rsid w:val="001658B6"/>
    <w:rsid w:val="00171A70"/>
    <w:rsid w:val="0017272D"/>
    <w:rsid w:val="00177526"/>
    <w:rsid w:val="0018425C"/>
    <w:rsid w:val="001956F0"/>
    <w:rsid w:val="001A3E9A"/>
    <w:rsid w:val="001A636E"/>
    <w:rsid w:val="001B2C89"/>
    <w:rsid w:val="001B63A1"/>
    <w:rsid w:val="001C0B08"/>
    <w:rsid w:val="001C1577"/>
    <w:rsid w:val="001C2D85"/>
    <w:rsid w:val="001C39AC"/>
    <w:rsid w:val="001C5B3D"/>
    <w:rsid w:val="001D0348"/>
    <w:rsid w:val="001D36AA"/>
    <w:rsid w:val="001E22F1"/>
    <w:rsid w:val="001E2508"/>
    <w:rsid w:val="001E486F"/>
    <w:rsid w:val="001E5266"/>
    <w:rsid w:val="001F26EA"/>
    <w:rsid w:val="001F4645"/>
    <w:rsid w:val="00205DE4"/>
    <w:rsid w:val="00207063"/>
    <w:rsid w:val="00215FD1"/>
    <w:rsid w:val="00220C28"/>
    <w:rsid w:val="00220D75"/>
    <w:rsid w:val="0022173F"/>
    <w:rsid w:val="00221F98"/>
    <w:rsid w:val="00222732"/>
    <w:rsid w:val="00224D1E"/>
    <w:rsid w:val="00224E61"/>
    <w:rsid w:val="0023261D"/>
    <w:rsid w:val="002375DE"/>
    <w:rsid w:val="00246779"/>
    <w:rsid w:val="00262C31"/>
    <w:rsid w:val="002638DC"/>
    <w:rsid w:val="00263CE0"/>
    <w:rsid w:val="002678E9"/>
    <w:rsid w:val="00282909"/>
    <w:rsid w:val="00287962"/>
    <w:rsid w:val="00292D76"/>
    <w:rsid w:val="00297C2A"/>
    <w:rsid w:val="002A71CC"/>
    <w:rsid w:val="002B3AC4"/>
    <w:rsid w:val="002B44C0"/>
    <w:rsid w:val="002B59FC"/>
    <w:rsid w:val="002C76AB"/>
    <w:rsid w:val="002C7A86"/>
    <w:rsid w:val="002D28DF"/>
    <w:rsid w:val="002E0713"/>
    <w:rsid w:val="002F119A"/>
    <w:rsid w:val="002F204D"/>
    <w:rsid w:val="002F2F32"/>
    <w:rsid w:val="0030193E"/>
    <w:rsid w:val="00321F38"/>
    <w:rsid w:val="00330ACB"/>
    <w:rsid w:val="00331394"/>
    <w:rsid w:val="003317A8"/>
    <w:rsid w:val="00332EA7"/>
    <w:rsid w:val="003353C5"/>
    <w:rsid w:val="003454E5"/>
    <w:rsid w:val="00347F97"/>
    <w:rsid w:val="00354173"/>
    <w:rsid w:val="003616AC"/>
    <w:rsid w:val="00366270"/>
    <w:rsid w:val="00370ED0"/>
    <w:rsid w:val="00375A18"/>
    <w:rsid w:val="0038078D"/>
    <w:rsid w:val="00386024"/>
    <w:rsid w:val="003910F3"/>
    <w:rsid w:val="0039752D"/>
    <w:rsid w:val="003A0397"/>
    <w:rsid w:val="003A4DD4"/>
    <w:rsid w:val="003A6E33"/>
    <w:rsid w:val="003C340E"/>
    <w:rsid w:val="003C3EF6"/>
    <w:rsid w:val="003C56E7"/>
    <w:rsid w:val="003D120B"/>
    <w:rsid w:val="003D4CCB"/>
    <w:rsid w:val="003D5759"/>
    <w:rsid w:val="003D6B64"/>
    <w:rsid w:val="003E45AC"/>
    <w:rsid w:val="00405A29"/>
    <w:rsid w:val="00405D3E"/>
    <w:rsid w:val="00405E4F"/>
    <w:rsid w:val="00411497"/>
    <w:rsid w:val="004142B1"/>
    <w:rsid w:val="00414F4B"/>
    <w:rsid w:val="00422D9C"/>
    <w:rsid w:val="00424234"/>
    <w:rsid w:val="004258DD"/>
    <w:rsid w:val="00435A07"/>
    <w:rsid w:val="00441ACF"/>
    <w:rsid w:val="0045383F"/>
    <w:rsid w:val="004618AB"/>
    <w:rsid w:val="00463F52"/>
    <w:rsid w:val="00467E18"/>
    <w:rsid w:val="00472A3C"/>
    <w:rsid w:val="00473034"/>
    <w:rsid w:val="0047481D"/>
    <w:rsid w:val="00476188"/>
    <w:rsid w:val="004846D3"/>
    <w:rsid w:val="004853B8"/>
    <w:rsid w:val="00490323"/>
    <w:rsid w:val="00490A62"/>
    <w:rsid w:val="00491AD6"/>
    <w:rsid w:val="004960D6"/>
    <w:rsid w:val="004967A1"/>
    <w:rsid w:val="004A5A1A"/>
    <w:rsid w:val="004A76F3"/>
    <w:rsid w:val="004B5D5B"/>
    <w:rsid w:val="004B7829"/>
    <w:rsid w:val="004C0C7A"/>
    <w:rsid w:val="004C0F5B"/>
    <w:rsid w:val="004D37D9"/>
    <w:rsid w:val="004D3D04"/>
    <w:rsid w:val="004D6AA7"/>
    <w:rsid w:val="004D7D44"/>
    <w:rsid w:val="004E1C64"/>
    <w:rsid w:val="004E717F"/>
    <w:rsid w:val="004F21A0"/>
    <w:rsid w:val="004F4242"/>
    <w:rsid w:val="00500B8F"/>
    <w:rsid w:val="00514128"/>
    <w:rsid w:val="00521CF6"/>
    <w:rsid w:val="00526017"/>
    <w:rsid w:val="0053247E"/>
    <w:rsid w:val="00532578"/>
    <w:rsid w:val="00532BE2"/>
    <w:rsid w:val="00535C17"/>
    <w:rsid w:val="0055292D"/>
    <w:rsid w:val="00562761"/>
    <w:rsid w:val="0056287D"/>
    <w:rsid w:val="00564475"/>
    <w:rsid w:val="005676B7"/>
    <w:rsid w:val="00572669"/>
    <w:rsid w:val="00574039"/>
    <w:rsid w:val="00577F0A"/>
    <w:rsid w:val="0058599E"/>
    <w:rsid w:val="005B0C70"/>
    <w:rsid w:val="005B44AE"/>
    <w:rsid w:val="005C27F6"/>
    <w:rsid w:val="005D4099"/>
    <w:rsid w:val="005D5806"/>
    <w:rsid w:val="005D5F5A"/>
    <w:rsid w:val="005E6E2F"/>
    <w:rsid w:val="005F2771"/>
    <w:rsid w:val="006013AB"/>
    <w:rsid w:val="00602B9F"/>
    <w:rsid w:val="00603EFC"/>
    <w:rsid w:val="00622F39"/>
    <w:rsid w:val="0063039C"/>
    <w:rsid w:val="00635D16"/>
    <w:rsid w:val="00637430"/>
    <w:rsid w:val="00650906"/>
    <w:rsid w:val="00654DD9"/>
    <w:rsid w:val="00655EAB"/>
    <w:rsid w:val="00657445"/>
    <w:rsid w:val="00661AAC"/>
    <w:rsid w:val="00661AE5"/>
    <w:rsid w:val="00663758"/>
    <w:rsid w:val="00670E3F"/>
    <w:rsid w:val="00683B6B"/>
    <w:rsid w:val="00684398"/>
    <w:rsid w:val="00687A9E"/>
    <w:rsid w:val="0069387A"/>
    <w:rsid w:val="006939E5"/>
    <w:rsid w:val="006B0D7D"/>
    <w:rsid w:val="006B379A"/>
    <w:rsid w:val="006B6253"/>
    <w:rsid w:val="006C14EE"/>
    <w:rsid w:val="006C2A1C"/>
    <w:rsid w:val="006E008A"/>
    <w:rsid w:val="006E374B"/>
    <w:rsid w:val="006E50C0"/>
    <w:rsid w:val="006F68A3"/>
    <w:rsid w:val="007043CA"/>
    <w:rsid w:val="0072243C"/>
    <w:rsid w:val="007237FA"/>
    <w:rsid w:val="00732A91"/>
    <w:rsid w:val="00736EC8"/>
    <w:rsid w:val="00737980"/>
    <w:rsid w:val="00741D94"/>
    <w:rsid w:val="007467DF"/>
    <w:rsid w:val="00756A61"/>
    <w:rsid w:val="00757BC3"/>
    <w:rsid w:val="00760A88"/>
    <w:rsid w:val="00762481"/>
    <w:rsid w:val="0076444F"/>
    <w:rsid w:val="007872BC"/>
    <w:rsid w:val="007A377A"/>
    <w:rsid w:val="007B1D32"/>
    <w:rsid w:val="007B6E3E"/>
    <w:rsid w:val="007C73DE"/>
    <w:rsid w:val="007D174B"/>
    <w:rsid w:val="007D1AFF"/>
    <w:rsid w:val="007D609D"/>
    <w:rsid w:val="007D669F"/>
    <w:rsid w:val="007E1950"/>
    <w:rsid w:val="007E7ECF"/>
    <w:rsid w:val="007F0E84"/>
    <w:rsid w:val="007F17B1"/>
    <w:rsid w:val="007F321F"/>
    <w:rsid w:val="007F338A"/>
    <w:rsid w:val="007F5A8E"/>
    <w:rsid w:val="007F6387"/>
    <w:rsid w:val="007F6E52"/>
    <w:rsid w:val="00806C5D"/>
    <w:rsid w:val="008149B1"/>
    <w:rsid w:val="00820463"/>
    <w:rsid w:val="00821486"/>
    <w:rsid w:val="008271A8"/>
    <w:rsid w:val="00833527"/>
    <w:rsid w:val="00836810"/>
    <w:rsid w:val="00843FE7"/>
    <w:rsid w:val="00845BCF"/>
    <w:rsid w:val="008529C3"/>
    <w:rsid w:val="0085653B"/>
    <w:rsid w:val="00860EC5"/>
    <w:rsid w:val="00865BFF"/>
    <w:rsid w:val="00867383"/>
    <w:rsid w:val="008744A6"/>
    <w:rsid w:val="0087689B"/>
    <w:rsid w:val="008807E6"/>
    <w:rsid w:val="00883089"/>
    <w:rsid w:val="00883BC8"/>
    <w:rsid w:val="00892EDB"/>
    <w:rsid w:val="0089745E"/>
    <w:rsid w:val="00897ABC"/>
    <w:rsid w:val="008A05DD"/>
    <w:rsid w:val="008A7731"/>
    <w:rsid w:val="008B4CA7"/>
    <w:rsid w:val="008B7489"/>
    <w:rsid w:val="008C5194"/>
    <w:rsid w:val="008D30E6"/>
    <w:rsid w:val="008D3564"/>
    <w:rsid w:val="00901824"/>
    <w:rsid w:val="009069C2"/>
    <w:rsid w:val="009140FD"/>
    <w:rsid w:val="00914746"/>
    <w:rsid w:val="009241DC"/>
    <w:rsid w:val="009320AA"/>
    <w:rsid w:val="00932702"/>
    <w:rsid w:val="0094517E"/>
    <w:rsid w:val="00962B37"/>
    <w:rsid w:val="009630CC"/>
    <w:rsid w:val="0096330D"/>
    <w:rsid w:val="00970EB1"/>
    <w:rsid w:val="00971A5E"/>
    <w:rsid w:val="009720C1"/>
    <w:rsid w:val="009754EA"/>
    <w:rsid w:val="00977755"/>
    <w:rsid w:val="00977835"/>
    <w:rsid w:val="00981574"/>
    <w:rsid w:val="00981585"/>
    <w:rsid w:val="009A7E33"/>
    <w:rsid w:val="009B458C"/>
    <w:rsid w:val="009B5C03"/>
    <w:rsid w:val="009C2FED"/>
    <w:rsid w:val="009D1D03"/>
    <w:rsid w:val="009D264E"/>
    <w:rsid w:val="009D3593"/>
    <w:rsid w:val="009E3663"/>
    <w:rsid w:val="009E46C4"/>
    <w:rsid w:val="009E586C"/>
    <w:rsid w:val="009E7BBF"/>
    <w:rsid w:val="009F59E4"/>
    <w:rsid w:val="00A07E43"/>
    <w:rsid w:val="00A11046"/>
    <w:rsid w:val="00A15619"/>
    <w:rsid w:val="00A16DAE"/>
    <w:rsid w:val="00A20D92"/>
    <w:rsid w:val="00A21FED"/>
    <w:rsid w:val="00A33BE1"/>
    <w:rsid w:val="00A37BD6"/>
    <w:rsid w:val="00A40455"/>
    <w:rsid w:val="00A44F1C"/>
    <w:rsid w:val="00A45FB8"/>
    <w:rsid w:val="00A46A0C"/>
    <w:rsid w:val="00A54EF3"/>
    <w:rsid w:val="00A57F7F"/>
    <w:rsid w:val="00A653B2"/>
    <w:rsid w:val="00A869D4"/>
    <w:rsid w:val="00A87EC8"/>
    <w:rsid w:val="00A92C24"/>
    <w:rsid w:val="00A9589A"/>
    <w:rsid w:val="00AA2E6E"/>
    <w:rsid w:val="00AA39E1"/>
    <w:rsid w:val="00AB37A6"/>
    <w:rsid w:val="00AC65D8"/>
    <w:rsid w:val="00AD47DA"/>
    <w:rsid w:val="00AD7337"/>
    <w:rsid w:val="00AE28E2"/>
    <w:rsid w:val="00AE78EC"/>
    <w:rsid w:val="00AF0FB2"/>
    <w:rsid w:val="00B015A0"/>
    <w:rsid w:val="00B037A9"/>
    <w:rsid w:val="00B03FED"/>
    <w:rsid w:val="00B05D99"/>
    <w:rsid w:val="00B15587"/>
    <w:rsid w:val="00B22E7C"/>
    <w:rsid w:val="00B3093B"/>
    <w:rsid w:val="00B30DE2"/>
    <w:rsid w:val="00B33201"/>
    <w:rsid w:val="00B33603"/>
    <w:rsid w:val="00B400BE"/>
    <w:rsid w:val="00B47BB2"/>
    <w:rsid w:val="00B609BD"/>
    <w:rsid w:val="00B61EC4"/>
    <w:rsid w:val="00B64A22"/>
    <w:rsid w:val="00B66919"/>
    <w:rsid w:val="00B72A3A"/>
    <w:rsid w:val="00B761F1"/>
    <w:rsid w:val="00B8440A"/>
    <w:rsid w:val="00B85C44"/>
    <w:rsid w:val="00B8737B"/>
    <w:rsid w:val="00B92A39"/>
    <w:rsid w:val="00B97B34"/>
    <w:rsid w:val="00BA34BC"/>
    <w:rsid w:val="00BC1493"/>
    <w:rsid w:val="00BC78FF"/>
    <w:rsid w:val="00BD0F2B"/>
    <w:rsid w:val="00BD29EF"/>
    <w:rsid w:val="00BD4300"/>
    <w:rsid w:val="00BE28D8"/>
    <w:rsid w:val="00BE379B"/>
    <w:rsid w:val="00BF2BCE"/>
    <w:rsid w:val="00C00762"/>
    <w:rsid w:val="00C05251"/>
    <w:rsid w:val="00C05B41"/>
    <w:rsid w:val="00C068DB"/>
    <w:rsid w:val="00C07FF8"/>
    <w:rsid w:val="00C14F52"/>
    <w:rsid w:val="00C153DF"/>
    <w:rsid w:val="00C23B65"/>
    <w:rsid w:val="00C25E83"/>
    <w:rsid w:val="00C30408"/>
    <w:rsid w:val="00C335FE"/>
    <w:rsid w:val="00C3365A"/>
    <w:rsid w:val="00C36CC2"/>
    <w:rsid w:val="00C44A8F"/>
    <w:rsid w:val="00C46EEC"/>
    <w:rsid w:val="00C5538B"/>
    <w:rsid w:val="00C6324F"/>
    <w:rsid w:val="00C71212"/>
    <w:rsid w:val="00C82C06"/>
    <w:rsid w:val="00C866F7"/>
    <w:rsid w:val="00C87AFC"/>
    <w:rsid w:val="00C90AD7"/>
    <w:rsid w:val="00C94060"/>
    <w:rsid w:val="00C94E0B"/>
    <w:rsid w:val="00CA0F50"/>
    <w:rsid w:val="00CA6785"/>
    <w:rsid w:val="00CA7EB8"/>
    <w:rsid w:val="00CC2512"/>
    <w:rsid w:val="00CC416B"/>
    <w:rsid w:val="00CD14D0"/>
    <w:rsid w:val="00CD409E"/>
    <w:rsid w:val="00D00C94"/>
    <w:rsid w:val="00D05ABC"/>
    <w:rsid w:val="00D1037C"/>
    <w:rsid w:val="00D137F7"/>
    <w:rsid w:val="00D1473D"/>
    <w:rsid w:val="00D201D5"/>
    <w:rsid w:val="00D258E9"/>
    <w:rsid w:val="00D33A2A"/>
    <w:rsid w:val="00D35718"/>
    <w:rsid w:val="00D40AC5"/>
    <w:rsid w:val="00D43B6D"/>
    <w:rsid w:val="00D51191"/>
    <w:rsid w:val="00D56177"/>
    <w:rsid w:val="00D60729"/>
    <w:rsid w:val="00D62EE5"/>
    <w:rsid w:val="00D66F40"/>
    <w:rsid w:val="00D7198E"/>
    <w:rsid w:val="00D744FA"/>
    <w:rsid w:val="00D8185C"/>
    <w:rsid w:val="00D8605F"/>
    <w:rsid w:val="00D8690A"/>
    <w:rsid w:val="00D96149"/>
    <w:rsid w:val="00DA36B9"/>
    <w:rsid w:val="00DA387D"/>
    <w:rsid w:val="00DA6CA7"/>
    <w:rsid w:val="00DB7158"/>
    <w:rsid w:val="00DC0DCD"/>
    <w:rsid w:val="00DC1593"/>
    <w:rsid w:val="00DC4447"/>
    <w:rsid w:val="00DC4641"/>
    <w:rsid w:val="00DC65B3"/>
    <w:rsid w:val="00DD0C75"/>
    <w:rsid w:val="00DD6727"/>
    <w:rsid w:val="00DE2D04"/>
    <w:rsid w:val="00DF1738"/>
    <w:rsid w:val="00DF568B"/>
    <w:rsid w:val="00DF7A0C"/>
    <w:rsid w:val="00E052D5"/>
    <w:rsid w:val="00E072C0"/>
    <w:rsid w:val="00E07A3F"/>
    <w:rsid w:val="00E07EFB"/>
    <w:rsid w:val="00E2022A"/>
    <w:rsid w:val="00E21E3C"/>
    <w:rsid w:val="00E271FD"/>
    <w:rsid w:val="00E32003"/>
    <w:rsid w:val="00E40457"/>
    <w:rsid w:val="00E47F45"/>
    <w:rsid w:val="00E54143"/>
    <w:rsid w:val="00E549CF"/>
    <w:rsid w:val="00E562D0"/>
    <w:rsid w:val="00E60CC0"/>
    <w:rsid w:val="00E62766"/>
    <w:rsid w:val="00E70863"/>
    <w:rsid w:val="00E71C0D"/>
    <w:rsid w:val="00E725B6"/>
    <w:rsid w:val="00E7353D"/>
    <w:rsid w:val="00E766C6"/>
    <w:rsid w:val="00E80B5C"/>
    <w:rsid w:val="00E828F9"/>
    <w:rsid w:val="00E90C00"/>
    <w:rsid w:val="00EB20A7"/>
    <w:rsid w:val="00EC2402"/>
    <w:rsid w:val="00EC429B"/>
    <w:rsid w:val="00EC4FDB"/>
    <w:rsid w:val="00ED52F5"/>
    <w:rsid w:val="00ED5B9E"/>
    <w:rsid w:val="00EE58CC"/>
    <w:rsid w:val="00EF11FF"/>
    <w:rsid w:val="00EF6FAB"/>
    <w:rsid w:val="00F1221F"/>
    <w:rsid w:val="00F12A7D"/>
    <w:rsid w:val="00F22F02"/>
    <w:rsid w:val="00F24186"/>
    <w:rsid w:val="00F24A4E"/>
    <w:rsid w:val="00F25BCA"/>
    <w:rsid w:val="00F316F1"/>
    <w:rsid w:val="00F436CE"/>
    <w:rsid w:val="00F51D84"/>
    <w:rsid w:val="00F62141"/>
    <w:rsid w:val="00F67CCF"/>
    <w:rsid w:val="00F71BC1"/>
    <w:rsid w:val="00F82EF1"/>
    <w:rsid w:val="00F84D65"/>
    <w:rsid w:val="00F906D0"/>
    <w:rsid w:val="00F9394B"/>
    <w:rsid w:val="00FA4096"/>
    <w:rsid w:val="00FA58FD"/>
    <w:rsid w:val="00FB1139"/>
    <w:rsid w:val="00FB2965"/>
    <w:rsid w:val="00FB79A0"/>
    <w:rsid w:val="00FC0DC5"/>
    <w:rsid w:val="00FC2B6A"/>
    <w:rsid w:val="00FC3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9BA895C7-7393-4588-A131-E5B3A79BF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3" w:uiPriority="9" w:qFormat="1"/>
    <w:lsdException w:name="heading 4"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AC5"/>
    <w:rPr>
      <w:sz w:val="22"/>
      <w:szCs w:val="22"/>
    </w:rPr>
  </w:style>
  <w:style w:type="paragraph" w:styleId="Heading1">
    <w:name w:val="heading 1"/>
    <w:basedOn w:val="Normal"/>
    <w:next w:val="Normal"/>
    <w:link w:val="Heading1Char"/>
    <w:qFormat/>
    <w:rsid w:val="00661AE5"/>
    <w:pPr>
      <w:keepNext/>
      <w:keepLines/>
      <w:pBdr>
        <w:bottom w:val="single" w:sz="4" w:space="1" w:color="003055" w:themeColor="text1"/>
      </w:pBdr>
      <w:tabs>
        <w:tab w:val="left" w:pos="4016"/>
      </w:tabs>
      <w:spacing w:before="480" w:after="120"/>
      <w:outlineLvl w:val="0"/>
    </w:pPr>
    <w:rPr>
      <w:rFonts w:ascii="Arial" w:eastAsiaTheme="majorEastAsia" w:hAnsi="Arial" w:cstheme="majorBidi"/>
      <w:b/>
      <w:bCs/>
      <w:caps/>
      <w:sz w:val="26"/>
      <w:szCs w:val="24"/>
    </w:rPr>
  </w:style>
  <w:style w:type="paragraph" w:styleId="Heading2">
    <w:name w:val="heading 2"/>
    <w:basedOn w:val="Normal"/>
    <w:next w:val="Normal"/>
    <w:link w:val="Heading2Char"/>
    <w:unhideWhenUsed/>
    <w:qFormat/>
    <w:rsid w:val="00687A9E"/>
    <w:pPr>
      <w:keepNext/>
      <w:keepLines/>
      <w:spacing w:before="360" w:after="120"/>
      <w:outlineLvl w:val="1"/>
    </w:pPr>
    <w:rPr>
      <w:rFonts w:ascii="Arial" w:eastAsiaTheme="majorEastAsia" w:hAnsi="Arial" w:cstheme="majorBidi"/>
      <w:bCs/>
      <w:caps/>
      <w:color w:val="005789" w:themeColor="accent1"/>
      <w:sz w:val="20"/>
      <w:szCs w:val="26"/>
    </w:rPr>
  </w:style>
  <w:style w:type="paragraph" w:styleId="Heading3">
    <w:name w:val="heading 3"/>
    <w:basedOn w:val="Normal"/>
    <w:link w:val="Heading3Char"/>
    <w:uiPriority w:val="9"/>
    <w:qFormat/>
    <w:rsid w:val="00635D16"/>
    <w:pPr>
      <w:spacing w:before="240" w:after="120"/>
      <w:outlineLvl w:val="2"/>
    </w:pPr>
    <w:rPr>
      <w:rFonts w:ascii="Arial" w:eastAsia="Times New Roman" w:hAnsi="Arial" w:cs="Tahoma"/>
      <w:b/>
      <w:color w:val="000000"/>
      <w:sz w:val="20"/>
      <w:szCs w:val="34"/>
    </w:rPr>
  </w:style>
  <w:style w:type="paragraph" w:styleId="Heading4">
    <w:name w:val="heading 4"/>
    <w:next w:val="Normal"/>
    <w:link w:val="Heading4Char"/>
    <w:uiPriority w:val="9"/>
    <w:unhideWhenUsed/>
    <w:qFormat/>
    <w:rsid w:val="00D00C94"/>
    <w:pPr>
      <w:keepNext/>
      <w:spacing w:before="240" w:after="60" w:line="240" w:lineRule="exact"/>
      <w:outlineLvl w:val="3"/>
    </w:pPr>
    <w:rPr>
      <w:rFonts w:asciiTheme="minorHAnsi" w:eastAsia="Times New Roman" w:hAnsiTheme="minorHAnsi"/>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820463"/>
    <w:rPr>
      <w:rFonts w:ascii="Tahoma" w:hAnsi="Tahoma" w:cs="Tahoma"/>
      <w:sz w:val="16"/>
      <w:szCs w:val="16"/>
    </w:rPr>
  </w:style>
  <w:style w:type="character" w:customStyle="1" w:styleId="BalloonTextChar">
    <w:name w:val="Balloon Text Char"/>
    <w:basedOn w:val="DefaultParagraphFont"/>
    <w:uiPriority w:val="99"/>
    <w:semiHidden/>
    <w:rsid w:val="00546C6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20463"/>
    <w:rPr>
      <w:rFonts w:ascii="Tahoma" w:hAnsi="Tahoma" w:cs="Tahoma"/>
      <w:sz w:val="16"/>
      <w:szCs w:val="16"/>
    </w:rPr>
  </w:style>
  <w:style w:type="paragraph" w:styleId="ListParagraph">
    <w:name w:val="List Paragraph"/>
    <w:basedOn w:val="Normal"/>
    <w:uiPriority w:val="34"/>
    <w:qFormat/>
    <w:rsid w:val="004F21A0"/>
    <w:pPr>
      <w:numPr>
        <w:numId w:val="1"/>
      </w:numPr>
      <w:contextualSpacing/>
    </w:pPr>
  </w:style>
  <w:style w:type="character" w:styleId="Hyperlink">
    <w:name w:val="Hyperlink"/>
    <w:basedOn w:val="DefaultParagraphFont"/>
    <w:unhideWhenUsed/>
    <w:rsid w:val="004F21A0"/>
    <w:rPr>
      <w:color w:val="005789" w:themeColor="accent1"/>
      <w:u w:val="none"/>
    </w:rPr>
  </w:style>
  <w:style w:type="character" w:styleId="FollowedHyperlink">
    <w:name w:val="FollowedHyperlink"/>
    <w:basedOn w:val="DefaultParagraphFont"/>
    <w:semiHidden/>
    <w:unhideWhenUsed/>
    <w:rsid w:val="00463F52"/>
    <w:rPr>
      <w:color w:val="800080"/>
      <w:u w:val="single"/>
    </w:rPr>
  </w:style>
  <w:style w:type="paragraph" w:styleId="NormalWeb">
    <w:name w:val="Normal (Web)"/>
    <w:basedOn w:val="Normal"/>
    <w:uiPriority w:val="99"/>
    <w:semiHidden/>
    <w:unhideWhenUsed/>
    <w:rsid w:val="000F0F0A"/>
    <w:pPr>
      <w:spacing w:before="100" w:beforeAutospacing="1" w:after="100" w:afterAutospacing="1"/>
    </w:pPr>
    <w:rPr>
      <w:rFonts w:eastAsia="Times New Roman"/>
      <w:sz w:val="24"/>
      <w:szCs w:val="24"/>
    </w:rPr>
  </w:style>
  <w:style w:type="paragraph" w:styleId="Header">
    <w:name w:val="header"/>
    <w:basedOn w:val="Normal"/>
    <w:link w:val="HeaderChar"/>
    <w:unhideWhenUsed/>
    <w:rsid w:val="001E22F1"/>
    <w:pPr>
      <w:tabs>
        <w:tab w:val="center" w:pos="4680"/>
        <w:tab w:val="right" w:pos="9360"/>
      </w:tabs>
    </w:pPr>
  </w:style>
  <w:style w:type="character" w:customStyle="1" w:styleId="HeaderChar">
    <w:name w:val="Header Char"/>
    <w:basedOn w:val="DefaultParagraphFont"/>
    <w:link w:val="Header"/>
    <w:uiPriority w:val="99"/>
    <w:rsid w:val="001E22F1"/>
    <w:rPr>
      <w:rFonts w:ascii="Calibri" w:hAnsi="Calibri"/>
      <w:sz w:val="22"/>
      <w:szCs w:val="22"/>
    </w:rPr>
  </w:style>
  <w:style w:type="paragraph" w:styleId="Footer">
    <w:name w:val="footer"/>
    <w:basedOn w:val="Normal"/>
    <w:link w:val="FooterChar"/>
    <w:unhideWhenUsed/>
    <w:rsid w:val="001E22F1"/>
    <w:pPr>
      <w:tabs>
        <w:tab w:val="center" w:pos="4680"/>
        <w:tab w:val="right" w:pos="9360"/>
      </w:tabs>
    </w:pPr>
  </w:style>
  <w:style w:type="character" w:customStyle="1" w:styleId="FooterChar">
    <w:name w:val="Footer Char"/>
    <w:basedOn w:val="DefaultParagraphFont"/>
    <w:link w:val="Footer"/>
    <w:uiPriority w:val="99"/>
    <w:rsid w:val="001E22F1"/>
    <w:rPr>
      <w:rFonts w:ascii="Calibri" w:hAnsi="Calibri"/>
      <w:sz w:val="22"/>
      <w:szCs w:val="22"/>
    </w:rPr>
  </w:style>
  <w:style w:type="character" w:styleId="CommentReference">
    <w:name w:val="annotation reference"/>
    <w:basedOn w:val="DefaultParagraphFont"/>
    <w:uiPriority w:val="99"/>
    <w:unhideWhenUsed/>
    <w:rsid w:val="0094517E"/>
    <w:rPr>
      <w:sz w:val="16"/>
      <w:szCs w:val="16"/>
    </w:rPr>
  </w:style>
  <w:style w:type="paragraph" w:styleId="CommentText">
    <w:name w:val="annotation text"/>
    <w:basedOn w:val="Normal"/>
    <w:link w:val="CommentTextChar"/>
    <w:uiPriority w:val="99"/>
    <w:unhideWhenUsed/>
    <w:rsid w:val="0094517E"/>
    <w:rPr>
      <w:sz w:val="20"/>
      <w:szCs w:val="20"/>
    </w:rPr>
  </w:style>
  <w:style w:type="character" w:customStyle="1" w:styleId="CommentTextChar">
    <w:name w:val="Comment Text Char"/>
    <w:basedOn w:val="DefaultParagraphFont"/>
    <w:link w:val="CommentText"/>
    <w:uiPriority w:val="99"/>
    <w:rsid w:val="0094517E"/>
    <w:rPr>
      <w:rFonts w:ascii="Calibri" w:hAnsi="Calibri"/>
    </w:rPr>
  </w:style>
  <w:style w:type="paragraph" w:styleId="CommentSubject">
    <w:name w:val="annotation subject"/>
    <w:basedOn w:val="CommentText"/>
    <w:next w:val="CommentText"/>
    <w:link w:val="CommentSubjectChar"/>
    <w:unhideWhenUsed/>
    <w:rsid w:val="0094517E"/>
    <w:rPr>
      <w:b/>
      <w:bCs/>
    </w:rPr>
  </w:style>
  <w:style w:type="character" w:customStyle="1" w:styleId="CommentSubjectChar">
    <w:name w:val="Comment Subject Char"/>
    <w:basedOn w:val="CommentTextChar"/>
    <w:link w:val="CommentSubject"/>
    <w:rsid w:val="0094517E"/>
    <w:rPr>
      <w:rFonts w:ascii="Calibri" w:hAnsi="Calibri"/>
      <w:b/>
      <w:bCs/>
    </w:rPr>
  </w:style>
  <w:style w:type="character" w:customStyle="1" w:styleId="Heading1Char">
    <w:name w:val="Heading 1 Char"/>
    <w:basedOn w:val="DefaultParagraphFont"/>
    <w:link w:val="Heading1"/>
    <w:rsid w:val="00661AE5"/>
    <w:rPr>
      <w:rFonts w:ascii="Arial" w:eastAsiaTheme="majorEastAsia" w:hAnsi="Arial" w:cstheme="majorBidi"/>
      <w:b/>
      <w:bCs/>
      <w:caps/>
      <w:sz w:val="26"/>
    </w:rPr>
  </w:style>
  <w:style w:type="character" w:customStyle="1" w:styleId="Heading2Char">
    <w:name w:val="Heading 2 Char"/>
    <w:basedOn w:val="DefaultParagraphFont"/>
    <w:link w:val="Heading2"/>
    <w:rsid w:val="00687A9E"/>
    <w:rPr>
      <w:rFonts w:ascii="Arial" w:eastAsiaTheme="majorEastAsia" w:hAnsi="Arial" w:cstheme="majorBidi"/>
      <w:bCs/>
      <w:caps/>
      <w:color w:val="005789" w:themeColor="accent1"/>
      <w:sz w:val="20"/>
      <w:szCs w:val="26"/>
    </w:rPr>
  </w:style>
  <w:style w:type="character" w:styleId="PageNumber">
    <w:name w:val="page number"/>
    <w:basedOn w:val="DefaultParagraphFont"/>
    <w:rsid w:val="0018425C"/>
  </w:style>
  <w:style w:type="character" w:customStyle="1" w:styleId="Heading3Char">
    <w:name w:val="Heading 3 Char"/>
    <w:basedOn w:val="DefaultParagraphFont"/>
    <w:link w:val="Heading3"/>
    <w:uiPriority w:val="9"/>
    <w:rsid w:val="00635D16"/>
    <w:rPr>
      <w:rFonts w:ascii="Arial" w:eastAsia="Times New Roman" w:hAnsi="Arial" w:cs="Tahoma"/>
      <w:b/>
      <w:color w:val="000000"/>
      <w:sz w:val="20"/>
      <w:szCs w:val="34"/>
    </w:rPr>
  </w:style>
  <w:style w:type="character" w:customStyle="1" w:styleId="Heading4Char">
    <w:name w:val="Heading 4 Char"/>
    <w:basedOn w:val="DefaultParagraphFont"/>
    <w:link w:val="Heading4"/>
    <w:uiPriority w:val="9"/>
    <w:rsid w:val="00D00C94"/>
    <w:rPr>
      <w:rFonts w:asciiTheme="minorHAnsi" w:eastAsia="Times New Roman" w:hAnsiTheme="minorHAnsi"/>
      <w:b/>
      <w:bCs/>
      <w:sz w:val="22"/>
      <w:szCs w:val="28"/>
    </w:rPr>
  </w:style>
  <w:style w:type="paragraph" w:customStyle="1" w:styleId="bullettedlisttext">
    <w:name w:val="bulletted list text"/>
    <w:basedOn w:val="Normal"/>
    <w:rsid w:val="000F3659"/>
    <w:pPr>
      <w:tabs>
        <w:tab w:val="num" w:pos="187"/>
      </w:tabs>
      <w:spacing w:line="240" w:lineRule="exact"/>
      <w:ind w:left="187" w:hanging="187"/>
    </w:pPr>
    <w:rPr>
      <w:rFonts w:eastAsia="Times New Roman"/>
      <w:sz w:val="18"/>
      <w:szCs w:val="24"/>
    </w:rPr>
  </w:style>
  <w:style w:type="table" w:styleId="TableGrid">
    <w:name w:val="Table Grid"/>
    <w:aliases w:val="Clutch Table"/>
    <w:basedOn w:val="TableNormal"/>
    <w:uiPriority w:val="39"/>
    <w:rsid w:val="000F3659"/>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rsid w:val="000F3659"/>
    <w:pPr>
      <w:shd w:val="clear" w:color="auto" w:fill="000080"/>
      <w:spacing w:after="160" w:line="240" w:lineRule="exact"/>
    </w:pPr>
    <w:rPr>
      <w:rFonts w:ascii="Tahoma" w:eastAsia="Times New Roman" w:hAnsi="Tahoma" w:cs="Georgia"/>
      <w:sz w:val="20"/>
      <w:szCs w:val="20"/>
    </w:rPr>
  </w:style>
  <w:style w:type="character" w:customStyle="1" w:styleId="DocumentMapChar">
    <w:name w:val="Document Map Char"/>
    <w:basedOn w:val="DefaultParagraphFont"/>
    <w:link w:val="DocumentMap"/>
    <w:rsid w:val="000F3659"/>
    <w:rPr>
      <w:rFonts w:ascii="Tahoma" w:eastAsia="Times New Roman" w:hAnsi="Tahoma" w:cs="Georgia"/>
      <w:sz w:val="20"/>
      <w:szCs w:val="20"/>
      <w:shd w:val="clear" w:color="auto" w:fill="000080"/>
    </w:rPr>
  </w:style>
  <w:style w:type="paragraph" w:styleId="TOC1">
    <w:name w:val="toc 1"/>
    <w:basedOn w:val="Normal"/>
    <w:next w:val="Normal"/>
    <w:autoRedefine/>
    <w:rsid w:val="000F3659"/>
    <w:pPr>
      <w:spacing w:after="160" w:line="240" w:lineRule="exact"/>
    </w:pPr>
    <w:rPr>
      <w:rFonts w:ascii="Helvetica" w:eastAsia="Times New Roman" w:hAnsi="Helvetica"/>
      <w:sz w:val="18"/>
      <w:szCs w:val="24"/>
    </w:rPr>
  </w:style>
  <w:style w:type="paragraph" w:customStyle="1" w:styleId="StyleArialRightAfter0ptLinespacingsingle">
    <w:name w:val="Style Arial Right After:  0 pt Line spacing:  single"/>
    <w:basedOn w:val="Normal"/>
    <w:rsid w:val="000F3659"/>
    <w:pPr>
      <w:jc w:val="right"/>
    </w:pPr>
    <w:rPr>
      <w:rFonts w:ascii="Arial" w:eastAsia="Times New Roman" w:hAnsi="Arial"/>
      <w:sz w:val="18"/>
      <w:szCs w:val="20"/>
    </w:rPr>
  </w:style>
  <w:style w:type="paragraph" w:styleId="TOC2">
    <w:name w:val="toc 2"/>
    <w:basedOn w:val="Normal"/>
    <w:next w:val="Normal"/>
    <w:autoRedefine/>
    <w:rsid w:val="000F3659"/>
    <w:pPr>
      <w:spacing w:after="160" w:line="240" w:lineRule="exact"/>
      <w:ind w:left="180"/>
    </w:pPr>
    <w:rPr>
      <w:rFonts w:ascii="Helvetica" w:eastAsia="Times New Roman" w:hAnsi="Helvetica"/>
      <w:sz w:val="18"/>
      <w:szCs w:val="24"/>
    </w:rPr>
  </w:style>
  <w:style w:type="paragraph" w:styleId="TOC3">
    <w:name w:val="toc 3"/>
    <w:basedOn w:val="Normal"/>
    <w:next w:val="Normal"/>
    <w:autoRedefine/>
    <w:rsid w:val="000F3659"/>
    <w:pPr>
      <w:spacing w:after="160" w:line="240" w:lineRule="exact"/>
      <w:ind w:left="360"/>
    </w:pPr>
    <w:rPr>
      <w:rFonts w:ascii="Helvetica" w:eastAsia="Times New Roman" w:hAnsi="Helvetica"/>
      <w:sz w:val="18"/>
      <w:szCs w:val="24"/>
    </w:rPr>
  </w:style>
  <w:style w:type="paragraph" w:styleId="BodyTextIndent2">
    <w:name w:val="Body Text Indent 2"/>
    <w:basedOn w:val="Normal"/>
    <w:link w:val="BodyTextIndent2Char"/>
    <w:rsid w:val="000F3659"/>
    <w:pPr>
      <w:widowControl w:val="0"/>
      <w:spacing w:line="240" w:lineRule="atLeast"/>
      <w:ind w:left="720"/>
    </w:pPr>
    <w:rPr>
      <w:rFonts w:ascii="Arial" w:eastAsia="Times New Roman" w:hAnsi="Arial" w:cs="Arial"/>
      <w:sz w:val="20"/>
      <w:szCs w:val="20"/>
    </w:rPr>
  </w:style>
  <w:style w:type="character" w:customStyle="1" w:styleId="BodyTextIndent2Char">
    <w:name w:val="Body Text Indent 2 Char"/>
    <w:basedOn w:val="DefaultParagraphFont"/>
    <w:link w:val="BodyTextIndent2"/>
    <w:rsid w:val="000F3659"/>
    <w:rPr>
      <w:rFonts w:ascii="Arial" w:eastAsia="Times New Roman" w:hAnsi="Arial" w:cs="Arial"/>
      <w:sz w:val="20"/>
      <w:szCs w:val="20"/>
    </w:rPr>
  </w:style>
  <w:style w:type="paragraph" w:customStyle="1" w:styleId="bullet">
    <w:name w:val="bullet"/>
    <w:basedOn w:val="Normal"/>
    <w:rsid w:val="000F3659"/>
    <w:pPr>
      <w:spacing w:after="120" w:line="360" w:lineRule="auto"/>
      <w:ind w:left="360"/>
    </w:pPr>
    <w:rPr>
      <w:rFonts w:ascii="lutch\Word Templates" w:eastAsia="Times New Roman" w:hAnsi="lutch\Word Templates"/>
      <w:sz w:val="18"/>
      <w:szCs w:val="18"/>
    </w:rPr>
  </w:style>
  <w:style w:type="table" w:customStyle="1" w:styleId="NoteLevel31">
    <w:name w:val="Note Level 31"/>
    <w:basedOn w:val="TableNormal"/>
    <w:uiPriority w:val="60"/>
    <w:rsid w:val="000F3659"/>
    <w:rPr>
      <w:rFonts w:eastAsia="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2">
    <w:name w:val="Light Shading Accent 2"/>
    <w:basedOn w:val="TableNormal"/>
    <w:uiPriority w:val="60"/>
    <w:rsid w:val="000F3659"/>
    <w:rPr>
      <w:rFonts w:eastAsia="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F3659"/>
    <w:rPr>
      <w:rFonts w:eastAsia="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oteLevel41">
    <w:name w:val="Note Level 41"/>
    <w:basedOn w:val="TableNormal"/>
    <w:uiPriority w:val="61"/>
    <w:rsid w:val="000F3659"/>
    <w:rPr>
      <w:rFonts w:eastAsia="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NoteLevel91">
    <w:name w:val="Note Level 91"/>
    <w:basedOn w:val="TableNormal"/>
    <w:uiPriority w:val="66"/>
    <w:rsid w:val="000F3659"/>
    <w:rPr>
      <w:rFonts w:ascii="Cambria" w:eastAsia="Times New Roman"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3055" w:themeColor="text1"/>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ghtList-Accent6">
    <w:name w:val="Light List Accent 6"/>
    <w:basedOn w:val="TableNormal"/>
    <w:uiPriority w:val="61"/>
    <w:rsid w:val="000F3659"/>
    <w:rPr>
      <w:rFonts w:eastAsia="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Emphasis">
    <w:name w:val="Emphasis"/>
    <w:basedOn w:val="DefaultParagraphFont"/>
    <w:uiPriority w:val="20"/>
    <w:qFormat/>
    <w:rsid w:val="000F3659"/>
    <w:rPr>
      <w:i/>
      <w:iCs/>
    </w:rPr>
  </w:style>
  <w:style w:type="paragraph" w:customStyle="1" w:styleId="small">
    <w:name w:val="small"/>
    <w:basedOn w:val="Normal"/>
    <w:rsid w:val="000F3659"/>
    <w:pPr>
      <w:tabs>
        <w:tab w:val="left" w:pos="180"/>
      </w:tabs>
      <w:spacing w:before="240" w:line="180" w:lineRule="exact"/>
    </w:pPr>
    <w:rPr>
      <w:rFonts w:ascii="Helvetica" w:eastAsia="Times New Roman" w:hAnsi="Helvetica"/>
      <w:color w:val="808080"/>
      <w:sz w:val="14"/>
      <w:szCs w:val="24"/>
    </w:rPr>
  </w:style>
  <w:style w:type="character" w:styleId="Strong">
    <w:name w:val="Strong"/>
    <w:basedOn w:val="DefaultParagraphFont"/>
    <w:uiPriority w:val="22"/>
    <w:qFormat/>
    <w:rsid w:val="000F3659"/>
    <w:rPr>
      <w:b/>
      <w:bCs/>
    </w:rPr>
  </w:style>
  <w:style w:type="paragraph" w:styleId="Quote">
    <w:name w:val="Quote"/>
    <w:basedOn w:val="Normal"/>
    <w:next w:val="Normal"/>
    <w:link w:val="QuoteChar"/>
    <w:uiPriority w:val="29"/>
    <w:qFormat/>
    <w:rsid w:val="007B1D32"/>
    <w:pPr>
      <w:spacing w:before="200" w:line="276" w:lineRule="auto"/>
      <w:ind w:left="360" w:right="360"/>
    </w:pPr>
    <w:rPr>
      <w:rFonts w:ascii="Arial" w:eastAsia="Times New Roman" w:hAnsi="Arial"/>
      <w:i/>
      <w:iCs/>
      <w:lang w:bidi="en-US"/>
    </w:rPr>
  </w:style>
  <w:style w:type="character" w:customStyle="1" w:styleId="QuoteChar">
    <w:name w:val="Quote Char"/>
    <w:basedOn w:val="DefaultParagraphFont"/>
    <w:link w:val="Quote"/>
    <w:uiPriority w:val="29"/>
    <w:rsid w:val="007B1D32"/>
    <w:rPr>
      <w:rFonts w:ascii="Arial" w:eastAsia="Times New Roman" w:hAnsi="Arial"/>
      <w:i/>
      <w:iCs/>
      <w:sz w:val="22"/>
      <w:szCs w:val="22"/>
      <w:lang w:bidi="en-US"/>
    </w:rPr>
  </w:style>
  <w:style w:type="table" w:styleId="MediumShading1-Accent6">
    <w:name w:val="Medium Shading 1 Accent 6"/>
    <w:basedOn w:val="TableNormal"/>
    <w:uiPriority w:val="63"/>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
    <w:name w:val="Medium Shading 1"/>
    <w:basedOn w:val="TableNormal"/>
    <w:uiPriority w:val="63"/>
    <w:rsid w:val="000F3659"/>
    <w:rPr>
      <w:rFonts w:eastAsia="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List4">
    <w:name w:val="Table List 4"/>
    <w:basedOn w:val="TableNormal"/>
    <w:rsid w:val="000F3659"/>
    <w:pPr>
      <w:spacing w:after="160" w:line="240" w:lineRule="exact"/>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Grid1-Accent6">
    <w:name w:val="Medium Grid 1 Accent 6"/>
    <w:basedOn w:val="TableNormal"/>
    <w:uiPriority w:val="67"/>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TableList6">
    <w:name w:val="Table List 6"/>
    <w:basedOn w:val="TableNormal"/>
    <w:rsid w:val="000F3659"/>
    <w:pPr>
      <w:spacing w:after="160" w:line="240" w:lineRule="exact"/>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TGAppendixBodyHeaders">
    <w:name w:val="TG_Appendix Body (Headers)"/>
    <w:basedOn w:val="Normal"/>
    <w:uiPriority w:val="99"/>
    <w:rsid w:val="00A46A0C"/>
    <w:pPr>
      <w:widowControl w:val="0"/>
      <w:tabs>
        <w:tab w:val="left" w:pos="720"/>
      </w:tabs>
      <w:suppressAutoHyphens/>
      <w:autoSpaceDE w:val="0"/>
      <w:autoSpaceDN w:val="0"/>
      <w:adjustRightInd w:val="0"/>
      <w:spacing w:line="180" w:lineRule="atLeast"/>
      <w:textAlignment w:val="center"/>
    </w:pPr>
    <w:rPr>
      <w:rFonts w:ascii="GothamNarrow-Book" w:hAnsi="GothamNarrow-Book" w:cs="GothamNarrow-Book"/>
      <w:color w:val="000000"/>
      <w:sz w:val="16"/>
      <w:szCs w:val="16"/>
    </w:rPr>
  </w:style>
  <w:style w:type="paragraph" w:styleId="FootnoteText">
    <w:name w:val="footnote text"/>
    <w:basedOn w:val="Normal"/>
    <w:link w:val="FootnoteTextChar"/>
    <w:uiPriority w:val="99"/>
    <w:semiHidden/>
    <w:unhideWhenUsed/>
    <w:rsid w:val="00D8605F"/>
    <w:rPr>
      <w:sz w:val="20"/>
      <w:szCs w:val="20"/>
    </w:rPr>
  </w:style>
  <w:style w:type="character" w:customStyle="1" w:styleId="FootnoteTextChar">
    <w:name w:val="Footnote Text Char"/>
    <w:basedOn w:val="DefaultParagraphFont"/>
    <w:link w:val="FootnoteText"/>
    <w:uiPriority w:val="99"/>
    <w:semiHidden/>
    <w:rsid w:val="00D8605F"/>
    <w:rPr>
      <w:sz w:val="20"/>
      <w:szCs w:val="20"/>
    </w:rPr>
  </w:style>
  <w:style w:type="character" w:styleId="FootnoteReference">
    <w:name w:val="footnote reference"/>
    <w:basedOn w:val="DefaultParagraphFont"/>
    <w:uiPriority w:val="99"/>
    <w:semiHidden/>
    <w:unhideWhenUsed/>
    <w:rsid w:val="00D8605F"/>
    <w:rPr>
      <w:vertAlign w:val="superscript"/>
    </w:rPr>
  </w:style>
  <w:style w:type="paragraph" w:styleId="EndnoteText">
    <w:name w:val="endnote text"/>
    <w:basedOn w:val="Normal"/>
    <w:link w:val="EndnoteTextChar"/>
    <w:semiHidden/>
    <w:unhideWhenUsed/>
    <w:rsid w:val="0030193E"/>
    <w:rPr>
      <w:sz w:val="20"/>
      <w:szCs w:val="20"/>
    </w:rPr>
  </w:style>
  <w:style w:type="character" w:customStyle="1" w:styleId="EndnoteTextChar">
    <w:name w:val="Endnote Text Char"/>
    <w:basedOn w:val="DefaultParagraphFont"/>
    <w:link w:val="EndnoteText"/>
    <w:semiHidden/>
    <w:rsid w:val="0030193E"/>
    <w:rPr>
      <w:sz w:val="20"/>
      <w:szCs w:val="20"/>
    </w:rPr>
  </w:style>
  <w:style w:type="character" w:styleId="EndnoteReference">
    <w:name w:val="endnote reference"/>
    <w:basedOn w:val="DefaultParagraphFont"/>
    <w:semiHidden/>
    <w:unhideWhenUsed/>
    <w:rsid w:val="0030193E"/>
    <w:rPr>
      <w:vertAlign w:val="superscript"/>
    </w:rPr>
  </w:style>
  <w:style w:type="table" w:customStyle="1" w:styleId="ClutchTable1">
    <w:name w:val="Clutch Table1"/>
    <w:basedOn w:val="TableNormal"/>
    <w:next w:val="TableGrid"/>
    <w:uiPriority w:val="39"/>
    <w:rsid w:val="00684398"/>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1">
    <w:name w:val="p1"/>
    <w:basedOn w:val="Normal"/>
    <w:rsid w:val="009E7BBF"/>
    <w:rPr>
      <w:rFonts w:ascii="Verdana" w:eastAsiaTheme="minorHAnsi" w:hAnsi="Verdana"/>
      <w:color w:val="1B1B1B"/>
      <w:sz w:val="20"/>
      <w:szCs w:val="20"/>
    </w:rPr>
  </w:style>
  <w:style w:type="character" w:customStyle="1" w:styleId="s1">
    <w:name w:val="s1"/>
    <w:basedOn w:val="DefaultParagraphFont"/>
    <w:rsid w:val="009E7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27349">
      <w:bodyDiv w:val="1"/>
      <w:marLeft w:val="0"/>
      <w:marRight w:val="0"/>
      <w:marTop w:val="0"/>
      <w:marBottom w:val="0"/>
      <w:divBdr>
        <w:top w:val="none" w:sz="0" w:space="0" w:color="auto"/>
        <w:left w:val="none" w:sz="0" w:space="0" w:color="auto"/>
        <w:bottom w:val="none" w:sz="0" w:space="0" w:color="auto"/>
        <w:right w:val="none" w:sz="0" w:space="0" w:color="auto"/>
      </w:divBdr>
    </w:div>
    <w:div w:id="469176586">
      <w:bodyDiv w:val="1"/>
      <w:marLeft w:val="0"/>
      <w:marRight w:val="0"/>
      <w:marTop w:val="0"/>
      <w:marBottom w:val="0"/>
      <w:divBdr>
        <w:top w:val="none" w:sz="0" w:space="0" w:color="auto"/>
        <w:left w:val="none" w:sz="0" w:space="0" w:color="auto"/>
        <w:bottom w:val="none" w:sz="0" w:space="0" w:color="auto"/>
        <w:right w:val="none" w:sz="0" w:space="0" w:color="auto"/>
      </w:divBdr>
    </w:div>
    <w:div w:id="1149591712">
      <w:bodyDiv w:val="1"/>
      <w:marLeft w:val="0"/>
      <w:marRight w:val="0"/>
      <w:marTop w:val="0"/>
      <w:marBottom w:val="0"/>
      <w:divBdr>
        <w:top w:val="none" w:sz="0" w:space="0" w:color="auto"/>
        <w:left w:val="none" w:sz="0" w:space="0" w:color="auto"/>
        <w:bottom w:val="none" w:sz="0" w:space="0" w:color="auto"/>
        <w:right w:val="none" w:sz="0" w:space="0" w:color="auto"/>
      </w:divBdr>
    </w:div>
    <w:div w:id="1325163469">
      <w:bodyDiv w:val="1"/>
      <w:marLeft w:val="0"/>
      <w:marRight w:val="0"/>
      <w:marTop w:val="0"/>
      <w:marBottom w:val="0"/>
      <w:divBdr>
        <w:top w:val="none" w:sz="0" w:space="0" w:color="auto"/>
        <w:left w:val="none" w:sz="0" w:space="0" w:color="auto"/>
        <w:bottom w:val="none" w:sz="0" w:space="0" w:color="auto"/>
        <w:right w:val="none" w:sz="0" w:space="0" w:color="auto"/>
      </w:divBdr>
    </w:div>
    <w:div w:id="1331640611">
      <w:bodyDiv w:val="1"/>
      <w:marLeft w:val="0"/>
      <w:marRight w:val="0"/>
      <w:marTop w:val="0"/>
      <w:marBottom w:val="0"/>
      <w:divBdr>
        <w:top w:val="none" w:sz="0" w:space="0" w:color="auto"/>
        <w:left w:val="none" w:sz="0" w:space="0" w:color="auto"/>
        <w:bottom w:val="none" w:sz="0" w:space="0" w:color="auto"/>
        <w:right w:val="none" w:sz="0" w:space="0" w:color="auto"/>
      </w:divBdr>
      <w:divsChild>
        <w:div w:id="1006789598">
          <w:marLeft w:val="0"/>
          <w:marRight w:val="0"/>
          <w:marTop w:val="0"/>
          <w:marBottom w:val="0"/>
          <w:divBdr>
            <w:top w:val="none" w:sz="0" w:space="0" w:color="auto"/>
            <w:left w:val="none" w:sz="0" w:space="0" w:color="auto"/>
            <w:bottom w:val="none" w:sz="0" w:space="0" w:color="auto"/>
            <w:right w:val="none" w:sz="0" w:space="0" w:color="auto"/>
          </w:divBdr>
          <w:divsChild>
            <w:div w:id="291134418">
              <w:marLeft w:val="0"/>
              <w:marRight w:val="0"/>
              <w:marTop w:val="0"/>
              <w:marBottom w:val="0"/>
              <w:divBdr>
                <w:top w:val="none" w:sz="0" w:space="0" w:color="auto"/>
                <w:left w:val="none" w:sz="0" w:space="0" w:color="auto"/>
                <w:bottom w:val="none" w:sz="0" w:space="0" w:color="auto"/>
                <w:right w:val="none" w:sz="0" w:space="0" w:color="auto"/>
              </w:divBdr>
              <w:divsChild>
                <w:div w:id="1463116310">
                  <w:marLeft w:val="0"/>
                  <w:marRight w:val="0"/>
                  <w:marTop w:val="0"/>
                  <w:marBottom w:val="0"/>
                  <w:divBdr>
                    <w:top w:val="none" w:sz="0" w:space="0" w:color="auto"/>
                    <w:left w:val="none" w:sz="0" w:space="0" w:color="auto"/>
                    <w:bottom w:val="none" w:sz="0" w:space="0" w:color="auto"/>
                    <w:right w:val="none" w:sz="0" w:space="0" w:color="auto"/>
                  </w:divBdr>
                  <w:divsChild>
                    <w:div w:id="1173372077">
                      <w:marLeft w:val="0"/>
                      <w:marRight w:val="0"/>
                      <w:marTop w:val="0"/>
                      <w:marBottom w:val="0"/>
                      <w:divBdr>
                        <w:top w:val="none" w:sz="0" w:space="0" w:color="auto"/>
                        <w:left w:val="none" w:sz="0" w:space="0" w:color="auto"/>
                        <w:bottom w:val="none" w:sz="0" w:space="0" w:color="auto"/>
                        <w:right w:val="none" w:sz="0" w:space="0" w:color="auto"/>
                      </w:divBdr>
                      <w:divsChild>
                        <w:div w:id="9949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012249">
      <w:bodyDiv w:val="1"/>
      <w:marLeft w:val="0"/>
      <w:marRight w:val="0"/>
      <w:marTop w:val="0"/>
      <w:marBottom w:val="0"/>
      <w:divBdr>
        <w:top w:val="none" w:sz="0" w:space="0" w:color="auto"/>
        <w:left w:val="none" w:sz="0" w:space="0" w:color="auto"/>
        <w:bottom w:val="none" w:sz="0" w:space="0" w:color="auto"/>
        <w:right w:val="none" w:sz="0" w:space="0" w:color="auto"/>
      </w:divBdr>
    </w:div>
    <w:div w:id="2067757290">
      <w:bodyDiv w:val="1"/>
      <w:marLeft w:val="0"/>
      <w:marRight w:val="0"/>
      <w:marTop w:val="0"/>
      <w:marBottom w:val="0"/>
      <w:divBdr>
        <w:top w:val="none" w:sz="0" w:space="0" w:color="auto"/>
        <w:left w:val="none" w:sz="0" w:space="0" w:color="auto"/>
        <w:bottom w:val="none" w:sz="0" w:space="0" w:color="auto"/>
        <w:right w:val="none" w:sz="0" w:space="0" w:color="auto"/>
      </w:divBdr>
    </w:div>
    <w:div w:id="2076051229">
      <w:bodyDiv w:val="1"/>
      <w:marLeft w:val="0"/>
      <w:marRight w:val="0"/>
      <w:marTop w:val="0"/>
      <w:marBottom w:val="0"/>
      <w:divBdr>
        <w:top w:val="none" w:sz="0" w:space="0" w:color="auto"/>
        <w:left w:val="none" w:sz="0" w:space="0" w:color="auto"/>
        <w:bottom w:val="none" w:sz="0" w:space="0" w:color="auto"/>
        <w:right w:val="none" w:sz="0" w:space="0" w:color="auto"/>
      </w:divBdr>
      <w:divsChild>
        <w:div w:id="1144928226">
          <w:marLeft w:val="0"/>
          <w:marRight w:val="0"/>
          <w:marTop w:val="0"/>
          <w:marBottom w:val="0"/>
          <w:divBdr>
            <w:top w:val="none" w:sz="0" w:space="0" w:color="auto"/>
            <w:left w:val="none" w:sz="0" w:space="0" w:color="auto"/>
            <w:bottom w:val="none" w:sz="0" w:space="0" w:color="auto"/>
            <w:right w:val="none" w:sz="0" w:space="0" w:color="auto"/>
          </w:divBdr>
          <w:divsChild>
            <w:div w:id="1359355527">
              <w:marLeft w:val="0"/>
              <w:marRight w:val="0"/>
              <w:marTop w:val="0"/>
              <w:marBottom w:val="0"/>
              <w:divBdr>
                <w:top w:val="none" w:sz="0" w:space="0" w:color="auto"/>
                <w:left w:val="none" w:sz="0" w:space="0" w:color="auto"/>
                <w:bottom w:val="none" w:sz="0" w:space="0" w:color="auto"/>
                <w:right w:val="none" w:sz="0" w:space="0" w:color="auto"/>
              </w:divBdr>
              <w:divsChild>
                <w:div w:id="1241718585">
                  <w:marLeft w:val="0"/>
                  <w:marRight w:val="0"/>
                  <w:marTop w:val="0"/>
                  <w:marBottom w:val="0"/>
                  <w:divBdr>
                    <w:top w:val="none" w:sz="0" w:space="0" w:color="auto"/>
                    <w:left w:val="none" w:sz="0" w:space="0" w:color="auto"/>
                    <w:bottom w:val="none" w:sz="0" w:space="0" w:color="auto"/>
                    <w:right w:val="none" w:sz="0" w:space="0" w:color="auto"/>
                  </w:divBdr>
                  <w:divsChild>
                    <w:div w:id="1183935898">
                      <w:marLeft w:val="0"/>
                      <w:marRight w:val="0"/>
                      <w:marTop w:val="0"/>
                      <w:marBottom w:val="0"/>
                      <w:divBdr>
                        <w:top w:val="none" w:sz="0" w:space="0" w:color="auto"/>
                        <w:left w:val="none" w:sz="0" w:space="0" w:color="auto"/>
                        <w:bottom w:val="none" w:sz="0" w:space="0" w:color="auto"/>
                        <w:right w:val="none" w:sz="0" w:space="0" w:color="auto"/>
                      </w:divBdr>
                      <w:divsChild>
                        <w:div w:id="3868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EB6A399FF0614699F670867AB7DAA1"/>
        <w:category>
          <w:name w:val="General"/>
          <w:gallery w:val="placeholder"/>
        </w:category>
        <w:types>
          <w:type w:val="bbPlcHdr"/>
        </w:types>
        <w:behaviors>
          <w:behavior w:val="content"/>
        </w:behaviors>
        <w:guid w:val="{5A1C4687-D5D3-2D40-AAFE-C8FCF4F8093E}"/>
      </w:docPartPr>
      <w:docPartBody>
        <w:p w:rsidR="00DB07EE" w:rsidRDefault="00DB07EE" w:rsidP="00DB07EE">
          <w:pPr>
            <w:pStyle w:val="E1EB6A399FF0614699F670867AB7DAA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DB07EE"/>
    <w:rsid w:val="00005FC4"/>
    <w:rsid w:val="00007C6D"/>
    <w:rsid w:val="00071ACA"/>
    <w:rsid w:val="000A6631"/>
    <w:rsid w:val="001C76A9"/>
    <w:rsid w:val="001E4D58"/>
    <w:rsid w:val="00577376"/>
    <w:rsid w:val="005B3992"/>
    <w:rsid w:val="005E3561"/>
    <w:rsid w:val="00672DF4"/>
    <w:rsid w:val="007F38E2"/>
    <w:rsid w:val="008638AA"/>
    <w:rsid w:val="0087154F"/>
    <w:rsid w:val="008F1F7B"/>
    <w:rsid w:val="008F5F77"/>
    <w:rsid w:val="00A35869"/>
    <w:rsid w:val="00A9166C"/>
    <w:rsid w:val="00AC054C"/>
    <w:rsid w:val="00AC0DBB"/>
    <w:rsid w:val="00B52501"/>
    <w:rsid w:val="00BB64E1"/>
    <w:rsid w:val="00BE0041"/>
    <w:rsid w:val="00C36CDA"/>
    <w:rsid w:val="00D4302A"/>
    <w:rsid w:val="00DB07EE"/>
    <w:rsid w:val="00F4667B"/>
    <w:rsid w:val="00F55B49"/>
    <w:rsid w:val="00F83A7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C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C6B"/>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6C6B"/>
    <w:rPr>
      <w:rFonts w:ascii="Lucida Grande" w:hAnsi="Lucida Grande"/>
      <w:sz w:val="18"/>
      <w:szCs w:val="18"/>
    </w:rPr>
  </w:style>
  <w:style w:type="paragraph" w:customStyle="1" w:styleId="7C9AA94050295948A6B781BE4A867979">
    <w:name w:val="7C9AA94050295948A6B781BE4A867979"/>
    <w:rsid w:val="00DB07EE"/>
  </w:style>
  <w:style w:type="paragraph" w:customStyle="1" w:styleId="A8A8F71A9500DD4BB6A1191573C9226F">
    <w:name w:val="A8A8F71A9500DD4BB6A1191573C9226F"/>
    <w:rsid w:val="00DB07EE"/>
  </w:style>
  <w:style w:type="paragraph" w:customStyle="1" w:styleId="9F5A9995F26DAC4292C13CBDF6C2086C">
    <w:name w:val="9F5A9995F26DAC4292C13CBDF6C2086C"/>
    <w:rsid w:val="00DB07EE"/>
  </w:style>
  <w:style w:type="paragraph" w:customStyle="1" w:styleId="543A665A777F74489ED0CB93D74AC5BA">
    <w:name w:val="543A665A777F74489ED0CB93D74AC5BA"/>
    <w:rsid w:val="00DB07EE"/>
  </w:style>
  <w:style w:type="paragraph" w:customStyle="1" w:styleId="CFF865398F7032468F7A06CF2ECD0E73">
    <w:name w:val="CFF865398F7032468F7A06CF2ECD0E73"/>
    <w:rsid w:val="00DB07EE"/>
  </w:style>
  <w:style w:type="paragraph" w:customStyle="1" w:styleId="4B62178382338F4AA9161FCD0E30C3B2">
    <w:name w:val="4B62178382338F4AA9161FCD0E30C3B2"/>
    <w:rsid w:val="00DB07EE"/>
  </w:style>
  <w:style w:type="paragraph" w:customStyle="1" w:styleId="2E65E7B7BAAA1A4888ECEDEC85DEB512">
    <w:name w:val="2E65E7B7BAAA1A4888ECEDEC85DEB512"/>
    <w:rsid w:val="00DB07EE"/>
  </w:style>
  <w:style w:type="paragraph" w:customStyle="1" w:styleId="E1EB6A399FF0614699F670867AB7DAA1">
    <w:name w:val="E1EB6A399FF0614699F670867AB7DAA1"/>
    <w:rsid w:val="00DB0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Partnership">
  <a:themeElements>
    <a:clrScheme name="Custom 2">
      <a:dk1>
        <a:srgbClr val="003055"/>
      </a:dk1>
      <a:lt1>
        <a:srgbClr val="FFFFFF"/>
      </a:lt1>
      <a:dk2>
        <a:srgbClr val="8B8D8E"/>
      </a:dk2>
      <a:lt2>
        <a:srgbClr val="FFFFFF"/>
      </a:lt2>
      <a:accent1>
        <a:srgbClr val="005789"/>
      </a:accent1>
      <a:accent2>
        <a:srgbClr val="E6B222"/>
      </a:accent2>
      <a:accent3>
        <a:srgbClr val="598527"/>
      </a:accent3>
      <a:accent4>
        <a:srgbClr val="CA6C2C"/>
      </a:accent4>
      <a:accent5>
        <a:srgbClr val="6292AE"/>
      </a:accent5>
      <a:accent6>
        <a:srgbClr val="E8CD60"/>
      </a:accent6>
      <a:hlink>
        <a:srgbClr val="DAA476"/>
      </a:hlink>
      <a:folHlink>
        <a:srgbClr val="91A776"/>
      </a:folHlink>
    </a:clrScheme>
    <a:fontScheme name="PPS Font">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rget_x0020_Audiences xmlns="f40142b5-dc02-4243-bb57-e360fa06662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4C684480217243B59C7DF3DD1081A4" ma:contentTypeVersion="3" ma:contentTypeDescription="Create a new document." ma:contentTypeScope="" ma:versionID="c8e5c2571faed5a9006685f7f76aaef4">
  <xsd:schema xmlns:xsd="http://www.w3.org/2001/XMLSchema" xmlns:p="http://schemas.microsoft.com/office/2006/metadata/properties" xmlns:ns2="f40142b5-dc02-4243-bb57-e360fa066623" targetNamespace="http://schemas.microsoft.com/office/2006/metadata/properties" ma:root="true" ma:fieldsID="df4a72216f1ead08c3a006ee560feae7" ns2:_="">
    <xsd:import namespace="f40142b5-dc02-4243-bb57-e360fa066623"/>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f40142b5-dc02-4243-bb57-e360fa066623"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23816-8B46-4404-B97C-F42799AF71D2}">
  <ds:schemaRefs>
    <ds:schemaRef ds:uri="http://schemas.microsoft.com/office/2006/metadata/properties"/>
    <ds:schemaRef ds:uri="f40142b5-dc02-4243-bb57-e360fa066623"/>
  </ds:schemaRefs>
</ds:datastoreItem>
</file>

<file path=customXml/itemProps2.xml><?xml version="1.0" encoding="utf-8"?>
<ds:datastoreItem xmlns:ds="http://schemas.openxmlformats.org/officeDocument/2006/customXml" ds:itemID="{B779089F-841C-4977-A267-76252DC3B5C4}">
  <ds:schemaRefs>
    <ds:schemaRef ds:uri="http://schemas.microsoft.com/sharepoint/v3/contenttype/forms"/>
  </ds:schemaRefs>
</ds:datastoreItem>
</file>

<file path=customXml/itemProps3.xml><?xml version="1.0" encoding="utf-8"?>
<ds:datastoreItem xmlns:ds="http://schemas.openxmlformats.org/officeDocument/2006/customXml" ds:itemID="{E291FEDC-F2DD-46B8-9901-E348B3D75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42b5-dc02-4243-bb57-e360fa06662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B4C663-49B3-4A26-B74D-2E4104659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Update title in document properties</vt:lpstr>
    </vt:vector>
  </TitlesOfParts>
  <Company/>
  <LinksUpToDate>false</LinksUpToDate>
  <CharactersWithSpaces>3710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title in document properties</dc:title>
  <dc:subject/>
  <dc:creator>PARTNERSHIP FOR PUBLIC SERVICE</dc:creator>
  <cp:keywords/>
  <dc:description/>
  <cp:lastModifiedBy>Casey Dennison</cp:lastModifiedBy>
  <cp:revision>5</cp:revision>
  <cp:lastPrinted>2016-07-12T18:00:00Z</cp:lastPrinted>
  <dcterms:created xsi:type="dcterms:W3CDTF">2017-02-17T16:30:00Z</dcterms:created>
  <dcterms:modified xsi:type="dcterms:W3CDTF">2017-08-23T19:38:00Z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0x010100D84C684480217243B59C7DF3DD1081A4</vt:lpwstr>
  </property>
</Properties>
</file>