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18850" w14:textId="77777777" w:rsidR="00A9211B" w:rsidRDefault="00B20901">
      <w:pPr>
        <w:pStyle w:val="Heading"/>
        <w:spacing w:after="0"/>
        <w:rPr>
          <w:b w:val="0"/>
          <w:bCs w:val="0"/>
          <w:sz w:val="20"/>
          <w:szCs w:val="20"/>
        </w:rPr>
      </w:pPr>
      <w:r>
        <w:rPr>
          <w:b w:val="0"/>
          <w:bCs w:val="0"/>
          <w:sz w:val="20"/>
          <w:szCs w:val="20"/>
        </w:rPr>
        <w:t>POSITION DESCRIPTION</w:t>
      </w:r>
    </w:p>
    <w:p w14:paraId="3FA73DB4" w14:textId="77777777" w:rsidR="00A9211B" w:rsidRDefault="00B20901">
      <w:pPr>
        <w:pStyle w:val="Heading"/>
        <w:spacing w:before="120"/>
      </w:pPr>
      <w:r>
        <w:t>Assistant Secretary for Veterans’ Employment and Training, Department of labor</w:t>
      </w:r>
    </w:p>
    <w:p w14:paraId="0DF6F7AA" w14:textId="77777777" w:rsidR="00A9211B" w:rsidRDefault="00A9211B">
      <w:pPr>
        <w:pStyle w:val="Body"/>
        <w:rPr>
          <w:rFonts w:ascii="Arial" w:eastAsia="Arial" w:hAnsi="Arial" w:cs="Arial"/>
        </w:rPr>
      </w:pPr>
    </w:p>
    <w:tbl>
      <w:tblPr>
        <w:tblW w:w="9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FD9"/>
        <w:tblLayout w:type="fixed"/>
        <w:tblCellMar>
          <w:top w:w="58" w:type="dxa"/>
          <w:left w:w="115" w:type="dxa"/>
          <w:bottom w:w="58" w:type="dxa"/>
          <w:right w:w="115" w:type="dxa"/>
        </w:tblCellMar>
        <w:tblLook w:val="04A0" w:firstRow="1" w:lastRow="0" w:firstColumn="1" w:lastColumn="0" w:noHBand="0" w:noVBand="1"/>
      </w:tblPr>
      <w:tblGrid>
        <w:gridCol w:w="2671"/>
        <w:gridCol w:w="6791"/>
      </w:tblGrid>
      <w:tr w:rsidR="00B20901" w:rsidRPr="00F363E6" w14:paraId="3535EADE" w14:textId="77777777" w:rsidTr="00F363E6">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5687DCFE" w14:textId="77777777" w:rsidR="00A9211B" w:rsidRPr="00F363E6" w:rsidRDefault="00B20901">
            <w:pPr>
              <w:pStyle w:val="Body"/>
              <w:jc w:val="center"/>
              <w:rPr>
                <w:rFonts w:ascii="Arial" w:hAnsi="Arial" w:cs="Arial"/>
                <w:color w:val="auto"/>
              </w:rPr>
            </w:pPr>
            <w:r w:rsidRPr="00F363E6">
              <w:rPr>
                <w:rFonts w:ascii="Arial" w:hAnsi="Arial" w:cs="Arial"/>
                <w:b/>
                <w:bCs/>
                <w:color w:val="auto"/>
                <w:u w:color="FFFFFF"/>
              </w:rPr>
              <w:t>OVERVIEW</w:t>
            </w:r>
          </w:p>
        </w:tc>
      </w:tr>
      <w:tr w:rsidR="00B20901" w:rsidRPr="00F363E6" w14:paraId="56FADA7B" w14:textId="77777777" w:rsidTr="00F363E6">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0802462" w14:textId="77777777" w:rsidR="00A9211B" w:rsidRPr="00F363E6" w:rsidRDefault="00B20901">
            <w:pPr>
              <w:pStyle w:val="Body"/>
              <w:rPr>
                <w:rFonts w:ascii="Arial" w:hAnsi="Arial" w:cs="Arial"/>
                <w:color w:val="auto"/>
              </w:rPr>
            </w:pPr>
            <w:r w:rsidRPr="00F363E6">
              <w:rPr>
                <w:rFonts w:ascii="Arial" w:hAnsi="Arial" w:cs="Arial"/>
                <w:color w:val="auto"/>
              </w:rPr>
              <w:t>Senate Committee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00A65B" w14:textId="0F57ACEF" w:rsidR="00A9211B" w:rsidRPr="00F363E6" w:rsidRDefault="00B20901">
            <w:pPr>
              <w:pStyle w:val="Body"/>
              <w:rPr>
                <w:rFonts w:ascii="Arial" w:hAnsi="Arial" w:cs="Arial"/>
                <w:color w:val="auto"/>
              </w:rPr>
            </w:pPr>
            <w:r w:rsidRPr="00F363E6">
              <w:rPr>
                <w:rFonts w:ascii="Arial" w:hAnsi="Arial" w:cs="Arial"/>
                <w:color w:val="auto"/>
              </w:rPr>
              <w:t>Health, Education, Labor and Pensions jointly with Veterans Affairs</w:t>
            </w:r>
          </w:p>
        </w:tc>
      </w:tr>
      <w:tr w:rsidR="00B20901" w:rsidRPr="00F363E6" w14:paraId="17707650" w14:textId="77777777" w:rsidTr="00F363E6">
        <w:trPr>
          <w:trHeight w:val="9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09C9066" w14:textId="77777777" w:rsidR="00A9211B" w:rsidRPr="00F363E6" w:rsidRDefault="00B20901">
            <w:pPr>
              <w:pStyle w:val="Body"/>
              <w:rPr>
                <w:rFonts w:ascii="Arial" w:hAnsi="Arial" w:cs="Arial"/>
                <w:color w:val="auto"/>
              </w:rPr>
            </w:pPr>
            <w:r w:rsidRPr="00F363E6">
              <w:rPr>
                <w:rFonts w:ascii="Arial" w:hAnsi="Arial" w:cs="Arial"/>
                <w:color w:val="auto"/>
              </w:rPr>
              <w:t>Agency Mission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5C9297" w14:textId="77777777" w:rsidR="00A9211B" w:rsidRPr="00F363E6" w:rsidRDefault="00B20901">
            <w:pPr>
              <w:pStyle w:val="Body"/>
              <w:rPr>
                <w:rFonts w:ascii="Arial" w:hAnsi="Arial" w:cs="Arial"/>
                <w:color w:val="auto"/>
              </w:rPr>
            </w:pPr>
            <w:r w:rsidRPr="00F363E6">
              <w:rPr>
                <w:rFonts w:ascii="Arial" w:hAnsi="Arial" w:cs="Arial"/>
                <w:color w:val="auto"/>
              </w:rPr>
              <w:t>To foster and promote the welfare of job seekers, wage earners and retirees of the United States by improving their working conditions, advancing their opportunities for profitable employment and protecting benefits</w:t>
            </w:r>
          </w:p>
        </w:tc>
      </w:tr>
      <w:tr w:rsidR="00B20901" w:rsidRPr="00F363E6" w14:paraId="7084BC25" w14:textId="77777777" w:rsidTr="00F363E6">
        <w:trPr>
          <w:trHeight w:val="119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50778B2A" w14:textId="77777777" w:rsidR="00A9211B" w:rsidRPr="00F363E6" w:rsidRDefault="00B20901">
            <w:pPr>
              <w:pStyle w:val="Body"/>
              <w:rPr>
                <w:rFonts w:ascii="Arial" w:hAnsi="Arial" w:cs="Arial"/>
                <w:color w:val="auto"/>
              </w:rPr>
            </w:pPr>
            <w:r w:rsidRPr="00F363E6">
              <w:rPr>
                <w:rFonts w:ascii="Arial" w:hAnsi="Arial" w:cs="Arial"/>
                <w:color w:val="auto"/>
              </w:rPr>
              <w:t>Position Overview</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22BBA1" w14:textId="319206D2" w:rsidR="00A9211B" w:rsidRPr="00F363E6" w:rsidRDefault="00B20901" w:rsidP="00C866DE">
            <w:pPr>
              <w:pStyle w:val="Body"/>
              <w:rPr>
                <w:rFonts w:ascii="Arial" w:hAnsi="Arial" w:cs="Arial"/>
                <w:color w:val="auto"/>
              </w:rPr>
            </w:pPr>
            <w:r w:rsidRPr="00F363E6">
              <w:rPr>
                <w:rFonts w:ascii="Arial" w:hAnsi="Arial" w:cs="Arial"/>
                <w:color w:val="auto"/>
              </w:rPr>
              <w:t>The assistant secretary leads Veterans</w:t>
            </w:r>
            <w:r w:rsidR="008B7F2B" w:rsidRPr="00F363E6">
              <w:rPr>
                <w:rFonts w:ascii="Arial" w:hAnsi="Arial" w:cs="Arial"/>
                <w:color w:val="auto"/>
              </w:rPr>
              <w:t>’</w:t>
            </w:r>
            <w:r w:rsidRPr="00F363E6">
              <w:rPr>
                <w:rFonts w:ascii="Arial" w:hAnsi="Arial" w:cs="Arial"/>
                <w:color w:val="auto"/>
              </w:rPr>
              <w:t xml:space="preserve"> Employment and Training Service (VETS) in its mission to</w:t>
            </w:r>
            <w:r w:rsidRPr="00F363E6">
              <w:rPr>
                <w:rFonts w:ascii="Arial" w:hAnsi="Arial" w:cs="Arial"/>
                <w:color w:val="auto"/>
                <w:shd w:val="clear" w:color="auto" w:fill="FFFFFF"/>
              </w:rPr>
              <w:t> prepare America's veterans, service members and their spouses for meaningful careers, provide them with employment resources and expertise, protect their employment rights</w:t>
            </w:r>
            <w:r w:rsidR="0001209C" w:rsidRPr="00F363E6">
              <w:rPr>
                <w:rFonts w:ascii="Arial" w:hAnsi="Arial" w:cs="Arial"/>
                <w:color w:val="auto"/>
                <w:shd w:val="clear" w:color="auto" w:fill="FFFFFF"/>
              </w:rPr>
              <w:t>,</w:t>
            </w:r>
            <w:r w:rsidRPr="00F363E6">
              <w:rPr>
                <w:rFonts w:ascii="Arial" w:hAnsi="Arial" w:cs="Arial"/>
                <w:color w:val="auto"/>
                <w:shd w:val="clear" w:color="auto" w:fill="FFFFFF"/>
              </w:rPr>
              <w:t xml:space="preserve"> and promote employment opportunities</w:t>
            </w:r>
            <w:r w:rsidR="00C866DE" w:rsidRPr="00F363E6">
              <w:rPr>
                <w:rFonts w:ascii="Arial" w:hAnsi="Arial" w:cs="Arial"/>
                <w:color w:val="auto"/>
                <w:shd w:val="clear" w:color="auto" w:fill="FFFFFF"/>
              </w:rPr>
              <w:t xml:space="preserve"> for them</w:t>
            </w:r>
            <w:r w:rsidRPr="00F363E6">
              <w:rPr>
                <w:rFonts w:ascii="Arial" w:hAnsi="Arial" w:cs="Arial"/>
                <w:color w:val="auto"/>
                <w:shd w:val="clear" w:color="auto" w:fill="FFFFFF"/>
              </w:rPr>
              <w:t>.</w:t>
            </w:r>
          </w:p>
        </w:tc>
      </w:tr>
      <w:tr w:rsidR="00B20901" w:rsidRPr="00F363E6" w14:paraId="5A8D5FD8" w14:textId="77777777" w:rsidTr="00F363E6">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2F32BB2C" w14:textId="77777777" w:rsidR="00A9211B" w:rsidRPr="00F363E6" w:rsidRDefault="00B20901">
            <w:pPr>
              <w:pStyle w:val="Body"/>
              <w:rPr>
                <w:rFonts w:ascii="Arial" w:hAnsi="Arial" w:cs="Arial"/>
                <w:color w:val="auto"/>
              </w:rPr>
            </w:pPr>
            <w:r w:rsidRPr="00F363E6">
              <w:rPr>
                <w:rFonts w:ascii="Arial" w:hAnsi="Arial" w:cs="Arial"/>
                <w:color w:val="auto"/>
              </w:rPr>
              <w:t>Compensation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4357D5" w14:textId="038E8456" w:rsidR="00A9211B" w:rsidRPr="00F363E6" w:rsidRDefault="00C866DE" w:rsidP="00AC5CF0">
            <w:pPr>
              <w:pStyle w:val="Body"/>
              <w:rPr>
                <w:rFonts w:ascii="Arial" w:hAnsi="Arial" w:cs="Arial"/>
                <w:color w:val="auto"/>
              </w:rPr>
            </w:pPr>
            <w:r w:rsidRPr="00F363E6">
              <w:rPr>
                <w:rFonts w:ascii="Arial" w:hAnsi="Arial" w:cs="Arial"/>
                <w:color w:val="auto"/>
              </w:rPr>
              <w:t>Level IV $</w:t>
            </w:r>
            <w:r w:rsidR="00AC5CF0">
              <w:rPr>
                <w:rFonts w:ascii="Arial" w:hAnsi="Arial" w:cs="Arial"/>
                <w:color w:val="auto"/>
              </w:rPr>
              <w:t>155,500</w:t>
            </w:r>
            <w:r w:rsidR="00B20901" w:rsidRPr="00F363E6">
              <w:rPr>
                <w:rFonts w:ascii="Arial" w:hAnsi="Arial" w:cs="Arial"/>
                <w:color w:val="auto"/>
              </w:rPr>
              <w:t xml:space="preserve"> (5 U.S.C. § 5315)</w:t>
            </w:r>
            <w:r w:rsidR="00F363E6" w:rsidRPr="00F363E6">
              <w:rPr>
                <w:rStyle w:val="EndnoteReference"/>
                <w:rFonts w:ascii="Arial" w:hAnsi="Arial" w:cs="Arial"/>
                <w:color w:val="auto"/>
              </w:rPr>
              <w:endnoteReference w:id="1"/>
            </w:r>
          </w:p>
        </w:tc>
      </w:tr>
      <w:tr w:rsidR="00B20901" w:rsidRPr="00F363E6" w14:paraId="6BC64BAD" w14:textId="77777777" w:rsidTr="00F363E6">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CA2B6A9" w14:textId="77777777" w:rsidR="00A9211B" w:rsidRPr="00F363E6" w:rsidRDefault="00B20901">
            <w:pPr>
              <w:pStyle w:val="Body"/>
              <w:rPr>
                <w:rFonts w:ascii="Arial" w:hAnsi="Arial" w:cs="Arial"/>
                <w:color w:val="auto"/>
              </w:rPr>
            </w:pPr>
            <w:r w:rsidRPr="00F363E6">
              <w:rPr>
                <w:rFonts w:ascii="Arial" w:hAnsi="Arial" w:cs="Arial"/>
                <w:color w:val="auto"/>
              </w:rPr>
              <w:t>Position Reports to</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65F65" w14:textId="77777777" w:rsidR="00A9211B" w:rsidRPr="00F363E6" w:rsidRDefault="00B20901" w:rsidP="00B20901">
            <w:pPr>
              <w:pStyle w:val="Body"/>
              <w:tabs>
                <w:tab w:val="left" w:pos="2295"/>
              </w:tabs>
              <w:rPr>
                <w:rFonts w:ascii="Arial" w:hAnsi="Arial" w:cs="Arial"/>
                <w:color w:val="auto"/>
              </w:rPr>
            </w:pPr>
            <w:r w:rsidRPr="00F363E6">
              <w:rPr>
                <w:rFonts w:ascii="Arial" w:hAnsi="Arial" w:cs="Arial"/>
                <w:color w:val="auto"/>
                <w:u w:color="FF0000"/>
              </w:rPr>
              <w:t>Secretary of Labor</w:t>
            </w:r>
            <w:r w:rsidRPr="00F363E6">
              <w:rPr>
                <w:rFonts w:ascii="Arial" w:hAnsi="Arial" w:cs="Arial"/>
                <w:color w:val="auto"/>
                <w:u w:color="FF0000"/>
              </w:rPr>
              <w:tab/>
            </w:r>
          </w:p>
        </w:tc>
      </w:tr>
      <w:tr w:rsidR="00B20901" w:rsidRPr="00F363E6" w14:paraId="38F7DA77" w14:textId="77777777" w:rsidTr="00F363E6">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31522F93" w14:textId="77777777" w:rsidR="00A9211B" w:rsidRPr="00F363E6" w:rsidRDefault="00B20901">
            <w:pPr>
              <w:pStyle w:val="Body"/>
              <w:jc w:val="center"/>
              <w:rPr>
                <w:rFonts w:ascii="Arial" w:hAnsi="Arial" w:cs="Arial"/>
                <w:color w:val="auto"/>
              </w:rPr>
            </w:pPr>
            <w:r w:rsidRPr="00F363E6">
              <w:rPr>
                <w:rFonts w:ascii="Arial" w:hAnsi="Arial" w:cs="Arial"/>
                <w:b/>
                <w:bCs/>
                <w:color w:val="auto"/>
                <w:u w:color="FFFFFF"/>
              </w:rPr>
              <w:t>RESPONSIBILITIES</w:t>
            </w:r>
          </w:p>
        </w:tc>
      </w:tr>
      <w:tr w:rsidR="00B20901" w:rsidRPr="00F363E6" w14:paraId="7263AB0F" w14:textId="77777777" w:rsidTr="00F363E6">
        <w:trPr>
          <w:trHeight w:val="4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1784ECB0" w14:textId="77777777" w:rsidR="00A9211B" w:rsidRPr="00F363E6" w:rsidRDefault="00B20901">
            <w:pPr>
              <w:pStyle w:val="Body"/>
              <w:rPr>
                <w:rFonts w:ascii="Arial" w:hAnsi="Arial" w:cs="Arial"/>
                <w:color w:val="auto"/>
              </w:rPr>
            </w:pPr>
            <w:r w:rsidRPr="00F363E6">
              <w:rPr>
                <w:rFonts w:ascii="Arial" w:hAnsi="Arial" w:cs="Arial"/>
                <w:color w:val="auto"/>
              </w:rPr>
              <w:t>Management Scope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8CD2A" w14:textId="40109ED2" w:rsidR="00A9211B" w:rsidRPr="00F363E6" w:rsidRDefault="00B20901" w:rsidP="0001209C">
            <w:pPr>
              <w:pStyle w:val="Body"/>
              <w:rPr>
                <w:rFonts w:ascii="Arial" w:hAnsi="Arial" w:cs="Arial"/>
                <w:color w:val="auto"/>
              </w:rPr>
            </w:pPr>
            <w:r w:rsidRPr="00F363E6">
              <w:rPr>
                <w:rFonts w:ascii="Arial" w:hAnsi="Arial" w:cs="Arial"/>
                <w:color w:val="auto"/>
              </w:rPr>
              <w:t xml:space="preserve">In fiscal 2016, VETS had an actual budget of $271.1 </w:t>
            </w:r>
            <w:r w:rsidR="0001209C" w:rsidRPr="00F363E6">
              <w:rPr>
                <w:rFonts w:ascii="Arial" w:hAnsi="Arial" w:cs="Arial"/>
                <w:color w:val="auto"/>
              </w:rPr>
              <w:t>b</w:t>
            </w:r>
            <w:r w:rsidRPr="00F363E6">
              <w:rPr>
                <w:rFonts w:ascii="Arial" w:hAnsi="Arial" w:cs="Arial"/>
                <w:color w:val="auto"/>
              </w:rPr>
              <w:t>illion and 245 full-time equivalents.</w:t>
            </w:r>
          </w:p>
        </w:tc>
      </w:tr>
      <w:tr w:rsidR="00B20901" w:rsidRPr="00F363E6" w14:paraId="4331CD8E" w14:textId="77777777" w:rsidTr="00F363E6">
        <w:trPr>
          <w:trHeight w:val="4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4A64061" w14:textId="77777777" w:rsidR="00B20901" w:rsidRPr="00F363E6" w:rsidRDefault="00B20901" w:rsidP="003B6EC7">
            <w:pPr>
              <w:pStyle w:val="Body"/>
              <w:rPr>
                <w:rFonts w:ascii="Arial" w:hAnsi="Arial" w:cs="Arial"/>
                <w:color w:val="auto"/>
              </w:rPr>
            </w:pPr>
            <w:r w:rsidRPr="00F363E6">
              <w:rPr>
                <w:rFonts w:ascii="Arial" w:hAnsi="Arial" w:cs="Arial"/>
                <w:color w:val="auto"/>
              </w:rPr>
              <w:t>Primary Responsibilities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00B2AA" w14:textId="58A9A6BE" w:rsidR="00B20901" w:rsidRPr="00F363E6" w:rsidRDefault="00B20901" w:rsidP="00B20901">
            <w:pPr>
              <w:pStyle w:val="NormalWeb"/>
              <w:numPr>
                <w:ilvl w:val="0"/>
                <w:numId w:val="4"/>
              </w:numPr>
              <w:spacing w:before="0" w:after="0"/>
              <w:rPr>
                <w:rFonts w:ascii="Arial" w:hAnsi="Arial" w:cs="Arial"/>
                <w:color w:val="auto"/>
                <w:sz w:val="22"/>
                <w:szCs w:val="22"/>
              </w:rPr>
            </w:pPr>
            <w:r w:rsidRPr="00F363E6">
              <w:rPr>
                <w:rFonts w:ascii="Arial" w:hAnsi="Arial" w:cs="Arial"/>
                <w:color w:val="auto"/>
                <w:sz w:val="22"/>
                <w:szCs w:val="22"/>
              </w:rPr>
              <w:t xml:space="preserve">Administers </w:t>
            </w:r>
            <w:r w:rsidR="008B7F2B" w:rsidRPr="00F363E6">
              <w:rPr>
                <w:rFonts w:ascii="Arial" w:hAnsi="Arial" w:cs="Arial"/>
                <w:color w:val="auto"/>
                <w:sz w:val="22"/>
                <w:szCs w:val="22"/>
              </w:rPr>
              <w:t xml:space="preserve">Department of Labor (DOL) </w:t>
            </w:r>
            <w:r w:rsidRPr="00F363E6">
              <w:rPr>
                <w:rFonts w:ascii="Arial" w:hAnsi="Arial" w:cs="Arial"/>
                <w:color w:val="auto"/>
                <w:sz w:val="22"/>
                <w:szCs w:val="22"/>
              </w:rPr>
              <w:t xml:space="preserve">programs for the provision of employment and training services designed to meet the needs of veterans </w:t>
            </w:r>
          </w:p>
          <w:p w14:paraId="1AD2ED1D" w14:textId="7B61ED46" w:rsidR="00B20901" w:rsidRPr="00F363E6" w:rsidRDefault="00B20901" w:rsidP="00B20901">
            <w:pPr>
              <w:pStyle w:val="NormalWeb"/>
              <w:numPr>
                <w:ilvl w:val="0"/>
                <w:numId w:val="4"/>
              </w:numPr>
              <w:spacing w:before="0" w:after="0"/>
              <w:rPr>
                <w:rFonts w:ascii="Arial" w:hAnsi="Arial" w:cs="Arial"/>
                <w:color w:val="auto"/>
                <w:sz w:val="22"/>
                <w:szCs w:val="22"/>
              </w:rPr>
            </w:pPr>
            <w:r w:rsidRPr="00F363E6">
              <w:rPr>
                <w:rFonts w:ascii="Arial" w:hAnsi="Arial" w:cs="Arial"/>
                <w:color w:val="auto"/>
                <w:sz w:val="22"/>
                <w:szCs w:val="22"/>
              </w:rPr>
              <w:t>Ensures maximum effectiveness and efficiency in providing services and assistance to eligible veterans under all programs by coordinating and consulting with the secretary of veterans affairs with respect to</w:t>
            </w:r>
            <w:r w:rsidR="008B7F2B" w:rsidRPr="00F363E6">
              <w:rPr>
                <w:rFonts w:ascii="Arial" w:hAnsi="Arial" w:cs="Arial"/>
                <w:color w:val="auto"/>
                <w:sz w:val="22"/>
                <w:szCs w:val="22"/>
              </w:rPr>
              <w:t>:</w:t>
            </w:r>
          </w:p>
          <w:p w14:paraId="28DF44B5" w14:textId="06F200BF" w:rsidR="00B20901" w:rsidRPr="00F363E6" w:rsidRDefault="00B20901" w:rsidP="00B20901">
            <w:pPr>
              <w:pStyle w:val="NormalWeb"/>
              <w:numPr>
                <w:ilvl w:val="1"/>
                <w:numId w:val="1"/>
              </w:numPr>
              <w:spacing w:before="0" w:after="0"/>
              <w:ind w:left="720"/>
              <w:rPr>
                <w:rFonts w:ascii="Arial" w:hAnsi="Arial" w:cs="Arial"/>
                <w:color w:val="auto"/>
                <w:sz w:val="22"/>
                <w:szCs w:val="22"/>
              </w:rPr>
            </w:pPr>
            <w:r w:rsidRPr="00F363E6">
              <w:rPr>
                <w:rFonts w:ascii="Arial" w:hAnsi="Arial" w:cs="Arial"/>
                <w:color w:val="auto"/>
                <w:sz w:val="22"/>
                <w:szCs w:val="22"/>
              </w:rPr>
              <w:t>Programs conducted, with particular emphasis on coordinatin</w:t>
            </w:r>
            <w:r w:rsidR="0001209C" w:rsidRPr="00F363E6">
              <w:rPr>
                <w:rFonts w:ascii="Arial" w:hAnsi="Arial" w:cs="Arial"/>
                <w:color w:val="auto"/>
                <w:sz w:val="22"/>
                <w:szCs w:val="22"/>
              </w:rPr>
              <w:t>g</w:t>
            </w:r>
            <w:r w:rsidRPr="00F363E6">
              <w:rPr>
                <w:rFonts w:ascii="Arial" w:hAnsi="Arial" w:cs="Arial"/>
                <w:color w:val="auto"/>
                <w:sz w:val="22"/>
                <w:szCs w:val="22"/>
              </w:rPr>
              <w:t xml:space="preserve"> </w:t>
            </w:r>
            <w:r w:rsidR="008B7F2B" w:rsidRPr="00F363E6">
              <w:rPr>
                <w:rFonts w:ascii="Arial" w:hAnsi="Arial" w:cs="Arial"/>
                <w:color w:val="auto"/>
                <w:sz w:val="22"/>
                <w:szCs w:val="22"/>
              </w:rPr>
              <w:t xml:space="preserve">activities that include </w:t>
            </w:r>
            <w:r w:rsidRPr="00F363E6">
              <w:rPr>
                <w:rFonts w:ascii="Arial" w:hAnsi="Arial" w:cs="Arial"/>
                <w:color w:val="auto"/>
                <w:sz w:val="22"/>
                <w:szCs w:val="22"/>
              </w:rPr>
              <w:t>readjustment counseling</w:t>
            </w:r>
            <w:r w:rsidR="008B7F2B" w:rsidRPr="00F363E6">
              <w:rPr>
                <w:rFonts w:ascii="Arial" w:hAnsi="Arial" w:cs="Arial"/>
                <w:color w:val="auto"/>
                <w:sz w:val="22"/>
                <w:szCs w:val="22"/>
              </w:rPr>
              <w:t>;</w:t>
            </w:r>
            <w:r w:rsidRPr="00F363E6">
              <w:rPr>
                <w:rFonts w:ascii="Arial" w:hAnsi="Arial" w:cs="Arial"/>
                <w:color w:val="auto"/>
                <w:sz w:val="22"/>
                <w:szCs w:val="22"/>
              </w:rPr>
              <w:t xml:space="preserve"> apprenticeship</w:t>
            </w:r>
            <w:r w:rsidR="008B7F2B" w:rsidRPr="00F363E6">
              <w:rPr>
                <w:rFonts w:ascii="Arial" w:hAnsi="Arial" w:cs="Arial"/>
                <w:color w:val="auto"/>
                <w:sz w:val="22"/>
                <w:szCs w:val="22"/>
              </w:rPr>
              <w:t>;</w:t>
            </w:r>
            <w:r w:rsidRPr="00F363E6">
              <w:rPr>
                <w:rFonts w:ascii="Arial" w:hAnsi="Arial" w:cs="Arial"/>
                <w:color w:val="auto"/>
                <w:sz w:val="22"/>
                <w:szCs w:val="22"/>
              </w:rPr>
              <w:t xml:space="preserve"> or other on-the-job training programs</w:t>
            </w:r>
            <w:r w:rsidR="008B7F2B" w:rsidRPr="00F363E6">
              <w:rPr>
                <w:rFonts w:ascii="Arial" w:hAnsi="Arial" w:cs="Arial"/>
                <w:color w:val="auto"/>
                <w:sz w:val="22"/>
                <w:szCs w:val="22"/>
              </w:rPr>
              <w:t xml:space="preserve">, </w:t>
            </w:r>
            <w:r w:rsidRPr="00F363E6">
              <w:rPr>
                <w:rFonts w:ascii="Arial" w:hAnsi="Arial" w:cs="Arial"/>
                <w:color w:val="auto"/>
                <w:sz w:val="22"/>
                <w:szCs w:val="22"/>
              </w:rPr>
              <w:t xml:space="preserve">rehabilitation and training </w:t>
            </w:r>
          </w:p>
          <w:p w14:paraId="185B9F0F" w14:textId="77777777" w:rsidR="00B20901" w:rsidRPr="00F363E6" w:rsidRDefault="00B20901" w:rsidP="00B20901">
            <w:pPr>
              <w:pStyle w:val="NormalWeb"/>
              <w:numPr>
                <w:ilvl w:val="1"/>
                <w:numId w:val="1"/>
              </w:numPr>
              <w:spacing w:before="0" w:after="0"/>
              <w:ind w:left="720"/>
              <w:rPr>
                <w:rFonts w:ascii="Arial" w:hAnsi="Arial" w:cs="Arial"/>
                <w:color w:val="auto"/>
                <w:sz w:val="22"/>
                <w:szCs w:val="22"/>
              </w:rPr>
            </w:pPr>
            <w:r w:rsidRPr="00F363E6">
              <w:rPr>
                <w:rFonts w:ascii="Arial" w:hAnsi="Arial" w:cs="Arial"/>
                <w:color w:val="auto"/>
                <w:sz w:val="22"/>
                <w:szCs w:val="22"/>
              </w:rPr>
              <w:t>Determinations covering veteran population in a state</w:t>
            </w:r>
          </w:p>
          <w:p w14:paraId="0DF1CAFC" w14:textId="711266B6" w:rsidR="00B20901" w:rsidRPr="00F363E6" w:rsidRDefault="008B7F2B" w:rsidP="008B7F2B">
            <w:pPr>
              <w:pStyle w:val="NormalWeb"/>
              <w:numPr>
                <w:ilvl w:val="0"/>
                <w:numId w:val="5"/>
              </w:numPr>
              <w:spacing w:before="0" w:after="0"/>
              <w:rPr>
                <w:rFonts w:ascii="Arial" w:hAnsi="Arial" w:cs="Arial"/>
                <w:color w:val="auto"/>
                <w:sz w:val="22"/>
                <w:szCs w:val="22"/>
              </w:rPr>
            </w:pPr>
            <w:r w:rsidRPr="00F363E6">
              <w:rPr>
                <w:rFonts w:ascii="Arial" w:hAnsi="Arial" w:cs="Arial"/>
                <w:color w:val="auto"/>
                <w:sz w:val="22"/>
                <w:szCs w:val="22"/>
              </w:rPr>
              <w:t>Ensure</w:t>
            </w:r>
            <w:r w:rsidR="005D7BE4" w:rsidRPr="00F363E6">
              <w:rPr>
                <w:rFonts w:ascii="Arial" w:hAnsi="Arial" w:cs="Arial"/>
                <w:color w:val="auto"/>
                <w:sz w:val="22"/>
                <w:szCs w:val="22"/>
              </w:rPr>
              <w:t>s</w:t>
            </w:r>
            <w:r w:rsidRPr="00F363E6">
              <w:rPr>
                <w:rFonts w:ascii="Arial" w:hAnsi="Arial" w:cs="Arial"/>
                <w:color w:val="auto"/>
                <w:sz w:val="22"/>
                <w:szCs w:val="22"/>
              </w:rPr>
              <w:t>, i</w:t>
            </w:r>
            <w:r w:rsidR="00B20901" w:rsidRPr="00F363E6">
              <w:rPr>
                <w:rFonts w:ascii="Arial" w:hAnsi="Arial" w:cs="Arial"/>
                <w:color w:val="auto"/>
                <w:sz w:val="22"/>
                <w:szCs w:val="22"/>
              </w:rPr>
              <w:t xml:space="preserve">n conjunction with </w:t>
            </w:r>
            <w:r w:rsidR="005D7BE4" w:rsidRPr="00F363E6">
              <w:rPr>
                <w:rFonts w:ascii="Arial" w:hAnsi="Arial" w:cs="Arial"/>
                <w:color w:val="auto"/>
                <w:sz w:val="22"/>
                <w:szCs w:val="22"/>
              </w:rPr>
              <w:t xml:space="preserve">DOL’s </w:t>
            </w:r>
            <w:r w:rsidRPr="00F363E6">
              <w:rPr>
                <w:rFonts w:ascii="Arial" w:hAnsi="Arial" w:cs="Arial"/>
                <w:color w:val="auto"/>
                <w:sz w:val="22"/>
                <w:szCs w:val="22"/>
              </w:rPr>
              <w:t>Employment and Training Administration,</w:t>
            </w:r>
            <w:r w:rsidR="00B20901" w:rsidRPr="00F363E6">
              <w:rPr>
                <w:rFonts w:ascii="Arial" w:hAnsi="Arial" w:cs="Arial"/>
                <w:color w:val="auto"/>
                <w:sz w:val="22"/>
                <w:szCs w:val="22"/>
              </w:rPr>
              <w:t xml:space="preserve"> that veteran  employment, training and placement activities are carried out in coordination and cooperation with appropriate state public</w:t>
            </w:r>
            <w:r w:rsidR="005D7BE4" w:rsidRPr="00F363E6">
              <w:rPr>
                <w:rFonts w:ascii="Arial" w:hAnsi="Arial" w:cs="Arial"/>
                <w:color w:val="auto"/>
                <w:sz w:val="22"/>
                <w:szCs w:val="22"/>
              </w:rPr>
              <w:t>-</w:t>
            </w:r>
            <w:r w:rsidR="00B20901" w:rsidRPr="00F363E6">
              <w:rPr>
                <w:rFonts w:ascii="Arial" w:hAnsi="Arial" w:cs="Arial"/>
                <w:color w:val="auto"/>
                <w:sz w:val="22"/>
                <w:szCs w:val="22"/>
              </w:rPr>
              <w:t>employment service officials</w:t>
            </w:r>
          </w:p>
          <w:p w14:paraId="1004D26F" w14:textId="77777777" w:rsidR="00B20901" w:rsidRPr="00F363E6" w:rsidRDefault="00B20901" w:rsidP="00B20901">
            <w:pPr>
              <w:pStyle w:val="NormalWeb"/>
              <w:numPr>
                <w:ilvl w:val="0"/>
                <w:numId w:val="5"/>
              </w:numPr>
              <w:spacing w:before="0" w:after="0"/>
              <w:rPr>
                <w:rFonts w:ascii="Arial" w:hAnsi="Arial" w:cs="Arial"/>
                <w:color w:val="auto"/>
                <w:sz w:val="22"/>
                <w:szCs w:val="22"/>
              </w:rPr>
            </w:pPr>
            <w:r w:rsidRPr="00F363E6">
              <w:rPr>
                <w:rFonts w:ascii="Arial" w:hAnsi="Arial" w:cs="Arial"/>
                <w:color w:val="auto"/>
                <w:sz w:val="22"/>
                <w:szCs w:val="22"/>
              </w:rPr>
              <w:t>Makes available for use in each state by grant or contract such funds as may be necessary to support:</w:t>
            </w:r>
          </w:p>
          <w:p w14:paraId="2409983C" w14:textId="69FB5212" w:rsidR="00B20901" w:rsidRPr="00F363E6" w:rsidRDefault="00B20901" w:rsidP="00B20901">
            <w:pPr>
              <w:pStyle w:val="NormalWeb"/>
              <w:numPr>
                <w:ilvl w:val="1"/>
                <w:numId w:val="1"/>
              </w:numPr>
              <w:spacing w:before="0" w:after="0"/>
              <w:ind w:left="720"/>
              <w:rPr>
                <w:rFonts w:ascii="Arial" w:hAnsi="Arial" w:cs="Arial"/>
                <w:color w:val="auto"/>
                <w:sz w:val="22"/>
                <w:szCs w:val="22"/>
              </w:rPr>
            </w:pPr>
            <w:r w:rsidRPr="00F363E6">
              <w:rPr>
                <w:rFonts w:ascii="Arial" w:hAnsi="Arial" w:cs="Arial"/>
                <w:color w:val="auto"/>
                <w:sz w:val="22"/>
                <w:szCs w:val="22"/>
              </w:rPr>
              <w:t>Disabled veterans outreach program specialists</w:t>
            </w:r>
          </w:p>
          <w:p w14:paraId="1F21FA35" w14:textId="6988636A" w:rsidR="00B20901" w:rsidRPr="00F363E6" w:rsidRDefault="00B20901" w:rsidP="00B20901">
            <w:pPr>
              <w:pStyle w:val="NormalWeb"/>
              <w:numPr>
                <w:ilvl w:val="1"/>
                <w:numId w:val="1"/>
              </w:numPr>
              <w:spacing w:before="0" w:after="0"/>
              <w:ind w:left="720"/>
              <w:rPr>
                <w:rFonts w:ascii="Arial" w:hAnsi="Arial" w:cs="Arial"/>
                <w:color w:val="auto"/>
                <w:sz w:val="22"/>
                <w:szCs w:val="22"/>
              </w:rPr>
            </w:pPr>
            <w:r w:rsidRPr="00F363E6">
              <w:rPr>
                <w:rFonts w:ascii="Arial" w:hAnsi="Arial" w:cs="Arial"/>
                <w:color w:val="auto"/>
                <w:sz w:val="22"/>
                <w:szCs w:val="22"/>
              </w:rPr>
              <w:lastRenderedPageBreak/>
              <w:t>Local veterans employment representatives</w:t>
            </w:r>
          </w:p>
          <w:p w14:paraId="758896DF" w14:textId="77777777" w:rsidR="00B20901" w:rsidRPr="00F363E6" w:rsidRDefault="00B20901" w:rsidP="00B20901">
            <w:pPr>
              <w:pStyle w:val="NormalWeb"/>
              <w:numPr>
                <w:ilvl w:val="1"/>
                <w:numId w:val="1"/>
              </w:numPr>
              <w:spacing w:before="0" w:after="0"/>
              <w:ind w:left="720"/>
              <w:rPr>
                <w:rFonts w:ascii="Arial" w:hAnsi="Arial" w:cs="Arial"/>
                <w:color w:val="auto"/>
                <w:sz w:val="22"/>
                <w:szCs w:val="22"/>
              </w:rPr>
            </w:pPr>
            <w:r w:rsidRPr="00F363E6">
              <w:rPr>
                <w:rFonts w:ascii="Arial" w:hAnsi="Arial" w:cs="Arial"/>
                <w:color w:val="auto"/>
                <w:sz w:val="22"/>
                <w:szCs w:val="22"/>
              </w:rPr>
              <w:t>Participation in the National Veterans’ Employment and Training Services Institute</w:t>
            </w:r>
          </w:p>
          <w:p w14:paraId="1410DE21" w14:textId="305AC269" w:rsidR="00B20901" w:rsidRPr="00F363E6" w:rsidRDefault="00B20901" w:rsidP="00B20901">
            <w:pPr>
              <w:pStyle w:val="NormalWeb"/>
              <w:numPr>
                <w:ilvl w:val="0"/>
                <w:numId w:val="6"/>
              </w:numPr>
              <w:spacing w:before="0" w:after="0"/>
              <w:rPr>
                <w:rFonts w:ascii="Arial" w:hAnsi="Arial" w:cs="Arial"/>
                <w:color w:val="auto"/>
                <w:sz w:val="22"/>
                <w:szCs w:val="22"/>
              </w:rPr>
            </w:pPr>
            <w:r w:rsidRPr="00F363E6">
              <w:rPr>
                <w:rFonts w:ascii="Arial" w:hAnsi="Arial" w:cs="Arial"/>
                <w:color w:val="auto"/>
                <w:sz w:val="22"/>
                <w:szCs w:val="22"/>
              </w:rPr>
              <w:t xml:space="preserve">Monitors and supervises on a continuing basis the distribution and use of funds </w:t>
            </w:r>
            <w:r w:rsidR="00710C58" w:rsidRPr="00F363E6">
              <w:rPr>
                <w:rFonts w:ascii="Arial" w:hAnsi="Arial" w:cs="Arial"/>
                <w:color w:val="auto"/>
                <w:sz w:val="22"/>
                <w:szCs w:val="22"/>
              </w:rPr>
              <w:t>allocated for</w:t>
            </w:r>
            <w:r w:rsidRPr="00F363E6">
              <w:rPr>
                <w:rFonts w:ascii="Arial" w:hAnsi="Arial" w:cs="Arial"/>
                <w:color w:val="auto"/>
                <w:sz w:val="22"/>
                <w:szCs w:val="22"/>
              </w:rPr>
              <w:t xml:space="preserve"> the states</w:t>
            </w:r>
          </w:p>
          <w:p w14:paraId="662647DE" w14:textId="39563D18" w:rsidR="00B20901" w:rsidRPr="00F363E6" w:rsidRDefault="00B20901" w:rsidP="00B20901">
            <w:pPr>
              <w:pStyle w:val="NormalWeb"/>
              <w:numPr>
                <w:ilvl w:val="0"/>
                <w:numId w:val="6"/>
              </w:numPr>
              <w:spacing w:before="0" w:after="0"/>
              <w:rPr>
                <w:rFonts w:ascii="Arial" w:hAnsi="Arial" w:cs="Arial"/>
                <w:color w:val="auto"/>
                <w:sz w:val="22"/>
                <w:szCs w:val="22"/>
              </w:rPr>
            </w:pPr>
            <w:r w:rsidRPr="00F363E6">
              <w:rPr>
                <w:rFonts w:ascii="Arial" w:hAnsi="Arial" w:cs="Arial"/>
                <w:color w:val="auto"/>
                <w:sz w:val="22"/>
                <w:szCs w:val="22"/>
              </w:rPr>
              <w:t xml:space="preserve">Establishes, and updates as appropriate, a comprehensive performance accountability system and carries out annual performance reviews of veterans employment, training and placement services provided through employment service delivery systems, including through disabled veterans outreach program specialists and local veterans employment representatives in states receiving grants, contracts or awards </w:t>
            </w:r>
          </w:p>
          <w:p w14:paraId="659FEC1C" w14:textId="64D5BC8E" w:rsidR="00B20901" w:rsidRPr="00F363E6" w:rsidRDefault="002F20A5">
            <w:pPr>
              <w:pStyle w:val="NormalWeb"/>
              <w:numPr>
                <w:ilvl w:val="0"/>
                <w:numId w:val="6"/>
              </w:numPr>
              <w:spacing w:before="0" w:after="0"/>
              <w:rPr>
                <w:rFonts w:ascii="Arial" w:hAnsi="Arial" w:cs="Arial"/>
                <w:color w:val="auto"/>
                <w:sz w:val="22"/>
                <w:szCs w:val="22"/>
              </w:rPr>
            </w:pPr>
            <w:r w:rsidRPr="00F363E6">
              <w:rPr>
                <w:rFonts w:ascii="Arial" w:hAnsi="Arial" w:cs="Arial"/>
                <w:color w:val="auto"/>
                <w:sz w:val="22"/>
                <w:szCs w:val="22"/>
              </w:rPr>
              <w:t>F</w:t>
            </w:r>
            <w:r w:rsidR="00B20901" w:rsidRPr="00F363E6">
              <w:rPr>
                <w:rFonts w:ascii="Arial" w:hAnsi="Arial" w:cs="Arial"/>
                <w:color w:val="auto"/>
                <w:sz w:val="22"/>
                <w:szCs w:val="22"/>
              </w:rPr>
              <w:t>urnishes information to employers</w:t>
            </w:r>
            <w:r w:rsidRPr="00F363E6">
              <w:rPr>
                <w:rFonts w:ascii="Arial" w:hAnsi="Arial" w:cs="Arial"/>
                <w:color w:val="auto"/>
                <w:sz w:val="22"/>
                <w:szCs w:val="22"/>
              </w:rPr>
              <w:t>, with advice and assistance from the advisory committee on veterans employment and training, and employer outreach</w:t>
            </w:r>
            <w:r w:rsidR="00B20901" w:rsidRPr="00F363E6">
              <w:rPr>
                <w:rFonts w:ascii="Arial" w:hAnsi="Arial" w:cs="Arial"/>
                <w:color w:val="auto"/>
                <w:sz w:val="22"/>
                <w:szCs w:val="22"/>
              </w:rPr>
              <w:t xml:space="preserve"> (through </w:t>
            </w:r>
            <w:r w:rsidR="008B7F2B" w:rsidRPr="00F363E6">
              <w:rPr>
                <w:rFonts w:ascii="Arial" w:hAnsi="Arial" w:cs="Arial"/>
                <w:color w:val="auto"/>
                <w:sz w:val="22"/>
                <w:szCs w:val="22"/>
              </w:rPr>
              <w:t xml:space="preserve">in-person </w:t>
            </w:r>
            <w:r w:rsidR="00B20901" w:rsidRPr="00F363E6">
              <w:rPr>
                <w:rFonts w:ascii="Arial" w:hAnsi="Arial" w:cs="Arial"/>
                <w:color w:val="auto"/>
                <w:sz w:val="22"/>
                <w:szCs w:val="22"/>
              </w:rPr>
              <w:t>meetings</w:t>
            </w:r>
            <w:r w:rsidR="008B7F2B" w:rsidRPr="00F363E6">
              <w:rPr>
                <w:rFonts w:ascii="Arial" w:hAnsi="Arial" w:cs="Arial"/>
                <w:color w:val="auto"/>
                <w:sz w:val="22"/>
                <w:szCs w:val="22"/>
              </w:rPr>
              <w:t xml:space="preserve"> </w:t>
            </w:r>
            <w:r w:rsidR="00B20901" w:rsidRPr="00F363E6">
              <w:rPr>
                <w:rFonts w:ascii="Arial" w:hAnsi="Arial" w:cs="Arial"/>
                <w:color w:val="auto"/>
                <w:sz w:val="22"/>
                <w:szCs w:val="22"/>
              </w:rPr>
              <w:t xml:space="preserve">with hiring executives of corporations and otherwise) </w:t>
            </w:r>
            <w:r w:rsidR="008B7F2B" w:rsidRPr="00F363E6">
              <w:rPr>
                <w:rFonts w:ascii="Arial" w:hAnsi="Arial" w:cs="Arial"/>
                <w:color w:val="auto"/>
                <w:sz w:val="22"/>
                <w:szCs w:val="22"/>
              </w:rPr>
              <w:t>regarding</w:t>
            </w:r>
            <w:r w:rsidR="00B20901" w:rsidRPr="00F363E6">
              <w:rPr>
                <w:rFonts w:ascii="Arial" w:hAnsi="Arial" w:cs="Arial"/>
                <w:color w:val="auto"/>
                <w:sz w:val="22"/>
                <w:szCs w:val="22"/>
              </w:rPr>
              <w:t xml:space="preserve"> the training and skills of veterans and disabled veterans</w:t>
            </w:r>
            <w:r w:rsidRPr="00F363E6">
              <w:rPr>
                <w:rFonts w:ascii="Arial" w:hAnsi="Arial" w:cs="Arial"/>
                <w:color w:val="auto"/>
                <w:sz w:val="22"/>
                <w:szCs w:val="22"/>
              </w:rPr>
              <w:t>—</w:t>
            </w:r>
            <w:r w:rsidR="00B20901" w:rsidRPr="00F363E6">
              <w:rPr>
                <w:rFonts w:ascii="Arial" w:hAnsi="Arial" w:cs="Arial"/>
                <w:color w:val="auto"/>
                <w:sz w:val="22"/>
                <w:szCs w:val="22"/>
              </w:rPr>
              <w:t xml:space="preserve">and the advantages </w:t>
            </w:r>
            <w:r w:rsidRPr="00F363E6">
              <w:rPr>
                <w:rFonts w:ascii="Arial" w:hAnsi="Arial" w:cs="Arial"/>
                <w:color w:val="auto"/>
                <w:sz w:val="22"/>
                <w:szCs w:val="22"/>
              </w:rPr>
              <w:t xml:space="preserve">for </w:t>
            </w:r>
            <w:r w:rsidR="00B20901" w:rsidRPr="00F363E6">
              <w:rPr>
                <w:rFonts w:ascii="Arial" w:hAnsi="Arial" w:cs="Arial"/>
                <w:color w:val="auto"/>
                <w:sz w:val="22"/>
                <w:szCs w:val="22"/>
              </w:rPr>
              <w:t xml:space="preserve">employers </w:t>
            </w:r>
            <w:r w:rsidRPr="00F363E6">
              <w:rPr>
                <w:rFonts w:ascii="Arial" w:hAnsi="Arial" w:cs="Arial"/>
                <w:color w:val="auto"/>
                <w:sz w:val="22"/>
                <w:szCs w:val="22"/>
              </w:rPr>
              <w:t xml:space="preserve">that </w:t>
            </w:r>
            <w:r w:rsidR="00B20901" w:rsidRPr="00F363E6">
              <w:rPr>
                <w:rFonts w:ascii="Arial" w:hAnsi="Arial" w:cs="Arial"/>
                <w:color w:val="auto"/>
                <w:sz w:val="22"/>
                <w:szCs w:val="22"/>
              </w:rPr>
              <w:t>hi</w:t>
            </w:r>
            <w:r w:rsidRPr="00F363E6">
              <w:rPr>
                <w:rFonts w:ascii="Arial" w:hAnsi="Arial" w:cs="Arial"/>
                <w:color w:val="auto"/>
                <w:sz w:val="22"/>
                <w:szCs w:val="22"/>
              </w:rPr>
              <w:t>re</w:t>
            </w:r>
            <w:r w:rsidR="00B20901" w:rsidRPr="00F363E6">
              <w:rPr>
                <w:rFonts w:ascii="Arial" w:hAnsi="Arial" w:cs="Arial"/>
                <w:color w:val="auto"/>
                <w:sz w:val="22"/>
                <w:szCs w:val="22"/>
              </w:rPr>
              <w:t xml:space="preserve"> veterans with such training and skills</w:t>
            </w:r>
            <w:r w:rsidRPr="00F363E6">
              <w:rPr>
                <w:rFonts w:ascii="Arial" w:hAnsi="Arial" w:cs="Arial"/>
                <w:color w:val="auto"/>
                <w:sz w:val="22"/>
                <w:szCs w:val="22"/>
              </w:rPr>
              <w:t>—</w:t>
            </w:r>
            <w:r w:rsidR="00B20901" w:rsidRPr="00F363E6">
              <w:rPr>
                <w:rFonts w:ascii="Arial" w:hAnsi="Arial" w:cs="Arial"/>
                <w:color w:val="auto"/>
                <w:sz w:val="22"/>
                <w:szCs w:val="22"/>
              </w:rPr>
              <w:t xml:space="preserve">and facilitates employment of veterans and disabled veterans through participation in labor exchanges (internet-based and otherwise) and other means    </w:t>
            </w:r>
          </w:p>
        </w:tc>
      </w:tr>
      <w:tr w:rsidR="00B20901" w:rsidRPr="00F363E6" w14:paraId="27377B66" w14:textId="77777777" w:rsidTr="00F363E6">
        <w:trPr>
          <w:trHeight w:val="4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68A7A330" w14:textId="77777777" w:rsidR="00B20901" w:rsidRPr="00F363E6" w:rsidRDefault="00B20901" w:rsidP="003B6EC7">
            <w:pPr>
              <w:pStyle w:val="Body"/>
              <w:rPr>
                <w:rFonts w:ascii="Arial" w:hAnsi="Arial" w:cs="Arial"/>
                <w:color w:val="auto"/>
              </w:rPr>
            </w:pPr>
            <w:r w:rsidRPr="00F363E6">
              <w:rPr>
                <w:rFonts w:ascii="Arial" w:hAnsi="Arial" w:cs="Arial"/>
                <w:color w:val="auto"/>
              </w:rPr>
              <w:lastRenderedPageBreak/>
              <w:t>Strategic Goals and Priorities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C6A24" w14:textId="77777777" w:rsidR="00B20901" w:rsidRPr="00F363E6" w:rsidRDefault="00B20901" w:rsidP="00B20901">
            <w:pPr>
              <w:pStyle w:val="Body"/>
              <w:rPr>
                <w:rFonts w:ascii="Arial" w:hAnsi="Arial" w:cs="Arial"/>
                <w:color w:val="auto"/>
              </w:rPr>
            </w:pPr>
          </w:p>
          <w:p w14:paraId="7CF0AAA9" w14:textId="77777777" w:rsidR="00B20901" w:rsidRPr="00F363E6" w:rsidRDefault="00B20901" w:rsidP="00B20901">
            <w:pPr>
              <w:pStyle w:val="Body"/>
              <w:rPr>
                <w:rFonts w:ascii="Arial" w:hAnsi="Arial" w:cs="Arial"/>
                <w:color w:val="auto"/>
              </w:rPr>
            </w:pPr>
          </w:p>
          <w:p w14:paraId="37D00F75" w14:textId="77777777" w:rsidR="00B20901" w:rsidRPr="00F363E6" w:rsidRDefault="00B20901" w:rsidP="00B20901">
            <w:pPr>
              <w:pStyle w:val="Body"/>
              <w:jc w:val="center"/>
              <w:rPr>
                <w:rFonts w:ascii="Arial" w:hAnsi="Arial" w:cs="Arial"/>
                <w:color w:val="auto"/>
              </w:rPr>
            </w:pPr>
            <w:r w:rsidRPr="00F363E6">
              <w:rPr>
                <w:rFonts w:ascii="Arial" w:hAnsi="Arial" w:cs="Arial"/>
                <w:color w:val="auto"/>
              </w:rPr>
              <w:t>[Depends on the policy priorities of the administration]</w:t>
            </w:r>
          </w:p>
          <w:p w14:paraId="43EDC1DD" w14:textId="77777777" w:rsidR="00B20901" w:rsidRPr="00F363E6" w:rsidRDefault="00B20901" w:rsidP="00B20901">
            <w:pPr>
              <w:pStyle w:val="Body"/>
              <w:rPr>
                <w:rFonts w:ascii="Arial" w:hAnsi="Arial" w:cs="Arial"/>
                <w:color w:val="auto"/>
              </w:rPr>
            </w:pPr>
          </w:p>
          <w:p w14:paraId="13330445" w14:textId="77777777" w:rsidR="00B20901" w:rsidRPr="00F363E6" w:rsidRDefault="00B20901" w:rsidP="00B20901">
            <w:pPr>
              <w:pStyle w:val="Body"/>
              <w:rPr>
                <w:rFonts w:ascii="Arial" w:hAnsi="Arial" w:cs="Arial"/>
                <w:color w:val="auto"/>
              </w:rPr>
            </w:pPr>
          </w:p>
        </w:tc>
      </w:tr>
      <w:tr w:rsidR="00B20901" w:rsidRPr="00F363E6" w14:paraId="21FB279B" w14:textId="77777777" w:rsidTr="00F363E6">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1685B19A" w14:textId="77777777" w:rsidR="00B20901" w:rsidRPr="00F363E6" w:rsidRDefault="00B20901" w:rsidP="003B6EC7">
            <w:pPr>
              <w:pStyle w:val="Body"/>
              <w:jc w:val="center"/>
              <w:rPr>
                <w:rFonts w:ascii="Arial" w:hAnsi="Arial" w:cs="Arial"/>
                <w:color w:val="auto"/>
              </w:rPr>
            </w:pPr>
            <w:r w:rsidRPr="00F363E6">
              <w:rPr>
                <w:rFonts w:ascii="Arial" w:hAnsi="Arial" w:cs="Arial"/>
                <w:b/>
                <w:bCs/>
                <w:color w:val="auto"/>
                <w:u w:color="FFFFFF"/>
              </w:rPr>
              <w:t>REQUIREMENTS AND COMPETENCIES</w:t>
            </w:r>
          </w:p>
        </w:tc>
      </w:tr>
      <w:tr w:rsidR="00B20901" w:rsidRPr="00F363E6" w14:paraId="4083BA8C" w14:textId="77777777" w:rsidTr="00F363E6">
        <w:trPr>
          <w:trHeight w:val="167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3B2B23CD" w14:textId="77777777" w:rsidR="00B20901" w:rsidRPr="00F363E6" w:rsidRDefault="00B20901" w:rsidP="003B6EC7">
            <w:pPr>
              <w:pStyle w:val="Body"/>
              <w:rPr>
                <w:rFonts w:ascii="Arial" w:hAnsi="Arial" w:cs="Arial"/>
                <w:color w:val="auto"/>
              </w:rPr>
            </w:pPr>
            <w:r w:rsidRPr="00F363E6">
              <w:rPr>
                <w:rFonts w:ascii="Arial" w:hAnsi="Arial" w:cs="Arial"/>
                <w:color w:val="auto"/>
              </w:rPr>
              <w:t>Requirements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0935AF" w14:textId="77777777" w:rsidR="00B20901" w:rsidRPr="00F363E6" w:rsidRDefault="00B20901" w:rsidP="00B20901">
            <w:pPr>
              <w:pStyle w:val="ListParagraph"/>
              <w:numPr>
                <w:ilvl w:val="0"/>
                <w:numId w:val="7"/>
              </w:numPr>
              <w:ind w:left="432"/>
              <w:rPr>
                <w:rFonts w:ascii="Arial" w:hAnsi="Arial" w:cs="Arial"/>
                <w:color w:val="auto"/>
              </w:rPr>
            </w:pPr>
            <w:r w:rsidRPr="00F363E6">
              <w:rPr>
                <w:rFonts w:ascii="Arial" w:hAnsi="Arial" w:cs="Arial"/>
                <w:color w:val="auto"/>
              </w:rPr>
              <w:t xml:space="preserve">Experience or demonstrated ability managing </w:t>
            </w:r>
            <w:r w:rsidRPr="00F363E6">
              <w:rPr>
                <w:rFonts w:ascii="Arial" w:hAnsi="Arial" w:cs="Arial"/>
                <w:color w:val="auto"/>
                <w:u w:color="FF0000"/>
              </w:rPr>
              <w:t xml:space="preserve">training </w:t>
            </w:r>
            <w:r w:rsidRPr="00F363E6">
              <w:rPr>
                <w:rFonts w:ascii="Arial" w:hAnsi="Arial" w:cs="Arial"/>
                <w:color w:val="auto"/>
              </w:rPr>
              <w:t>programs at the state level</w:t>
            </w:r>
          </w:p>
          <w:p w14:paraId="595D359E" w14:textId="77777777" w:rsidR="00B20901" w:rsidRPr="00F363E6" w:rsidRDefault="00B20901" w:rsidP="00B20901">
            <w:pPr>
              <w:pStyle w:val="ListParagraph"/>
              <w:numPr>
                <w:ilvl w:val="0"/>
                <w:numId w:val="7"/>
              </w:numPr>
              <w:ind w:left="432"/>
              <w:rPr>
                <w:rFonts w:ascii="Arial" w:hAnsi="Arial" w:cs="Arial"/>
                <w:color w:val="auto"/>
              </w:rPr>
            </w:pPr>
            <w:r w:rsidRPr="00F363E6">
              <w:rPr>
                <w:rFonts w:ascii="Arial" w:hAnsi="Arial" w:cs="Arial"/>
                <w:color w:val="auto"/>
              </w:rPr>
              <w:t>Experience or demonstrated ability working with or in state and local government</w:t>
            </w:r>
          </w:p>
          <w:p w14:paraId="67DECD55" w14:textId="77777777" w:rsidR="00B20901" w:rsidRPr="00F363E6" w:rsidRDefault="00B20901" w:rsidP="00B20901">
            <w:pPr>
              <w:pStyle w:val="ListParagraph"/>
              <w:numPr>
                <w:ilvl w:val="0"/>
                <w:numId w:val="7"/>
              </w:numPr>
              <w:ind w:left="432"/>
              <w:rPr>
                <w:rFonts w:ascii="Arial" w:hAnsi="Arial" w:cs="Arial"/>
                <w:color w:val="auto"/>
              </w:rPr>
            </w:pPr>
            <w:r w:rsidRPr="00F363E6">
              <w:rPr>
                <w:rFonts w:ascii="Arial" w:hAnsi="Arial" w:cs="Arial"/>
                <w:color w:val="auto"/>
              </w:rPr>
              <w:t>Experience as a veteran or working with veterans and veteran organizations</w:t>
            </w:r>
          </w:p>
          <w:p w14:paraId="69782080" w14:textId="77777777" w:rsidR="00B20901" w:rsidRPr="00F363E6" w:rsidRDefault="00B20901" w:rsidP="00B20901">
            <w:pPr>
              <w:pStyle w:val="ListParagraph"/>
              <w:numPr>
                <w:ilvl w:val="0"/>
                <w:numId w:val="7"/>
              </w:numPr>
              <w:ind w:left="432"/>
              <w:rPr>
                <w:rFonts w:ascii="Arial" w:hAnsi="Arial" w:cs="Arial"/>
                <w:color w:val="auto"/>
              </w:rPr>
            </w:pPr>
            <w:r w:rsidRPr="00F363E6">
              <w:rPr>
                <w:rFonts w:ascii="Arial" w:hAnsi="Arial" w:cs="Arial"/>
                <w:color w:val="auto"/>
              </w:rPr>
              <w:t>Experience working with Congress</w:t>
            </w:r>
          </w:p>
        </w:tc>
      </w:tr>
      <w:tr w:rsidR="00B20901" w:rsidRPr="00F363E6" w14:paraId="6D982D63" w14:textId="77777777" w:rsidTr="00F363E6">
        <w:trPr>
          <w:trHeight w:val="563"/>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189863DB" w14:textId="77777777" w:rsidR="00B20901" w:rsidRPr="00F363E6" w:rsidRDefault="00B20901" w:rsidP="003B6EC7">
            <w:pPr>
              <w:pStyle w:val="Body"/>
              <w:rPr>
                <w:rFonts w:ascii="Arial" w:hAnsi="Arial" w:cs="Arial"/>
                <w:color w:val="auto"/>
              </w:rPr>
            </w:pPr>
            <w:r w:rsidRPr="00F363E6">
              <w:rPr>
                <w:rFonts w:ascii="Arial" w:hAnsi="Arial" w:cs="Arial"/>
                <w:color w:val="auto"/>
              </w:rPr>
              <w:t>Competencies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B779E" w14:textId="77777777" w:rsidR="00B20901" w:rsidRPr="00F363E6" w:rsidRDefault="00B20901" w:rsidP="00B20901">
            <w:pPr>
              <w:pStyle w:val="Body"/>
              <w:numPr>
                <w:ilvl w:val="0"/>
                <w:numId w:val="8"/>
              </w:numPr>
              <w:ind w:left="432"/>
              <w:rPr>
                <w:rFonts w:ascii="Arial" w:eastAsia="Arial" w:hAnsi="Arial" w:cs="Arial"/>
                <w:color w:val="auto"/>
                <w:u w:color="0070C0"/>
              </w:rPr>
            </w:pPr>
            <w:r w:rsidRPr="00F363E6">
              <w:rPr>
                <w:rFonts w:ascii="Arial" w:hAnsi="Arial" w:cs="Arial"/>
                <w:color w:val="auto"/>
                <w:u w:color="0070C0"/>
              </w:rPr>
              <w:t>Strong communication and interpersonal skills</w:t>
            </w:r>
          </w:p>
          <w:p w14:paraId="69689E92" w14:textId="77777777" w:rsidR="00B20901" w:rsidRPr="00F363E6" w:rsidRDefault="00B20901" w:rsidP="00B20901">
            <w:pPr>
              <w:pStyle w:val="Body"/>
              <w:numPr>
                <w:ilvl w:val="0"/>
                <w:numId w:val="8"/>
              </w:numPr>
              <w:ind w:left="432"/>
              <w:rPr>
                <w:rFonts w:ascii="Arial" w:eastAsia="Arial" w:hAnsi="Arial" w:cs="Arial"/>
                <w:color w:val="auto"/>
                <w:u w:color="0070C0"/>
              </w:rPr>
            </w:pPr>
            <w:r w:rsidRPr="00F363E6">
              <w:rPr>
                <w:rFonts w:ascii="Arial" w:hAnsi="Arial" w:cs="Arial"/>
                <w:color w:val="auto"/>
                <w:u w:color="0070C0"/>
              </w:rPr>
              <w:t>Excellent leadership skills</w:t>
            </w:r>
          </w:p>
        </w:tc>
      </w:tr>
      <w:tr w:rsidR="00B20901" w:rsidRPr="00F363E6" w14:paraId="0F5A8E5A" w14:textId="77777777" w:rsidTr="00F363E6">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021233D1" w14:textId="77777777" w:rsidR="00B20901" w:rsidRPr="00F363E6" w:rsidRDefault="00B20901" w:rsidP="003B6EC7">
            <w:pPr>
              <w:pStyle w:val="Body"/>
              <w:jc w:val="center"/>
              <w:rPr>
                <w:rFonts w:ascii="Arial" w:hAnsi="Arial" w:cs="Arial"/>
                <w:color w:val="auto"/>
              </w:rPr>
            </w:pPr>
            <w:r w:rsidRPr="00F363E6">
              <w:rPr>
                <w:rFonts w:ascii="Arial" w:hAnsi="Arial" w:cs="Arial"/>
                <w:b/>
                <w:bCs/>
                <w:color w:val="auto"/>
                <w:u w:color="FFFFFF"/>
              </w:rPr>
              <w:t>PAST APPOINTEES</w:t>
            </w:r>
          </w:p>
        </w:tc>
      </w:tr>
      <w:tr w:rsidR="00B20901" w:rsidRPr="00F363E6" w14:paraId="3494ACE8" w14:textId="77777777" w:rsidTr="00F363E6">
        <w:trPr>
          <w:trHeight w:val="71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3D9BB" w14:textId="77777777" w:rsidR="00B20901" w:rsidRPr="00F363E6" w:rsidRDefault="00B20901" w:rsidP="003B6EC7">
            <w:pPr>
              <w:pStyle w:val="Body"/>
              <w:rPr>
                <w:rFonts w:ascii="Arial" w:hAnsi="Arial" w:cs="Arial"/>
                <w:color w:val="auto"/>
              </w:rPr>
            </w:pPr>
            <w:r w:rsidRPr="00F363E6">
              <w:rPr>
                <w:rFonts w:ascii="Arial" w:hAnsi="Arial" w:cs="Arial"/>
                <w:color w:val="auto"/>
              </w:rPr>
              <w:t>Michael Herman Michaud (2015 to 2016): Ex-Officio Member, Advisory Committee on Minority Veterans, Office of the Secretary, Department of Veterans Affairs; Representative, House of Representatives; Honorary Chairman, Mill To The Hill PAC</w:t>
            </w:r>
          </w:p>
        </w:tc>
      </w:tr>
      <w:tr w:rsidR="00B20901" w:rsidRPr="00F363E6" w14:paraId="6AE53BD0" w14:textId="77777777" w:rsidTr="00F363E6">
        <w:trPr>
          <w:trHeight w:val="25"/>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A0F2E" w14:textId="77777777" w:rsidR="00B20901" w:rsidRPr="00F363E6" w:rsidRDefault="00B20901" w:rsidP="003B6EC7">
            <w:pPr>
              <w:pStyle w:val="Body"/>
              <w:rPr>
                <w:rFonts w:ascii="Arial" w:hAnsi="Arial" w:cs="Arial"/>
                <w:color w:val="auto"/>
              </w:rPr>
            </w:pPr>
            <w:r w:rsidRPr="00F363E6">
              <w:rPr>
                <w:rFonts w:ascii="Arial" w:hAnsi="Arial" w:cs="Arial"/>
                <w:color w:val="auto"/>
              </w:rPr>
              <w:t>Keith Kelly (2011 to 2012): Chair and Vice Chair, Veterans Affairs Committee, National Association of State Workforce Agencies; Commissioner, Montana Department of Labor and Industry; Administrator, Unemployment Insurance Division, Montana Department of Labor and Industry</w:t>
            </w:r>
          </w:p>
        </w:tc>
      </w:tr>
      <w:tr w:rsidR="00B20901" w:rsidRPr="00F363E6" w14:paraId="363F38AD" w14:textId="77777777" w:rsidTr="00F363E6">
        <w:trPr>
          <w:trHeight w:val="47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348E2C" w14:textId="77777777" w:rsidR="00B20901" w:rsidRPr="00F363E6" w:rsidRDefault="00B20901" w:rsidP="003B6EC7">
            <w:pPr>
              <w:pStyle w:val="Body"/>
              <w:rPr>
                <w:rFonts w:ascii="Arial" w:hAnsi="Arial" w:cs="Arial"/>
                <w:color w:val="auto"/>
              </w:rPr>
            </w:pPr>
            <w:r w:rsidRPr="00F363E6">
              <w:rPr>
                <w:rFonts w:ascii="Arial" w:hAnsi="Arial" w:cs="Arial"/>
                <w:color w:val="auto"/>
              </w:rPr>
              <w:lastRenderedPageBreak/>
              <w:t>Raymond M. Jefferson (2009 to 2010): Leadership Consultant, McKinsey &amp; Company; Deputy Director, State of Hawaii’s Department of Business, Economic Development and Tourism</w:t>
            </w:r>
          </w:p>
        </w:tc>
      </w:tr>
    </w:tbl>
    <w:p w14:paraId="326E2714" w14:textId="77777777" w:rsidR="00A9211B" w:rsidRDefault="00A9211B" w:rsidP="00B20901">
      <w:pPr>
        <w:pStyle w:val="Body"/>
        <w:widowControl w:val="0"/>
      </w:pPr>
    </w:p>
    <w:sectPr w:rsidR="00A9211B">
      <w:footerReference w:type="default" r:id="rId8"/>
      <w:pgSz w:w="12240" w:h="15840"/>
      <w:pgMar w:top="576" w:right="1368" w:bottom="2448" w:left="1296"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5476E" w14:textId="77777777" w:rsidR="003D0167" w:rsidRDefault="003D0167">
      <w:r>
        <w:separator/>
      </w:r>
    </w:p>
  </w:endnote>
  <w:endnote w:type="continuationSeparator" w:id="0">
    <w:p w14:paraId="6508E7B4" w14:textId="77777777" w:rsidR="003D0167" w:rsidRDefault="003D0167">
      <w:r>
        <w:continuationSeparator/>
      </w:r>
    </w:p>
  </w:endnote>
  <w:endnote w:id="1">
    <w:p w14:paraId="640450F6" w14:textId="0192C746" w:rsidR="00F363E6" w:rsidRDefault="00F363E6">
      <w:pPr>
        <w:pStyle w:val="EndnoteText"/>
      </w:pPr>
      <w:r>
        <w:rPr>
          <w:rStyle w:val="EndnoteReference"/>
        </w:rPr>
        <w:endnoteRef/>
      </w:r>
      <w:r>
        <w:t xml:space="preserve"> </w:t>
      </w:r>
      <w:r w:rsidR="00AC5CF0">
        <w:t>The Consolidated Appropriations Act, 2017 (Public Law 115-31, May 5, 2017), contains a provision that continues the freeze on the payable pay rates for certain senior political officials at 2013 levels during calendar year 2017.</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E950" w14:textId="77777777" w:rsidR="00A9211B" w:rsidRDefault="00B20901">
    <w:pPr>
      <w:pStyle w:val="TGAppendixBodyHeaders"/>
      <w:pBdr>
        <w:top w:val="single" w:sz="2" w:space="0" w:color="000000"/>
      </w:pBdr>
      <w:spacing w:line="276" w:lineRule="auto"/>
      <w:ind w:left="40"/>
      <w:rPr>
        <w:rFonts w:ascii="Arial" w:hAnsi="Arial"/>
      </w:rPr>
    </w:pPr>
    <w:r>
      <w:rPr>
        <w:rFonts w:ascii="Arial" w:hAnsi="Arial"/>
        <w:noProof/>
      </w:rPr>
      <w:drawing>
        <wp:inline distT="0" distB="0" distL="0" distR="0" wp14:anchorId="05AA9D15" wp14:editId="7D58EFBD">
          <wp:extent cx="3049693" cy="3464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049693" cy="346405"/>
                  </a:xfrm>
                  <a:prstGeom prst="rect">
                    <a:avLst/>
                  </a:prstGeom>
                  <a:ln w="12700" cap="flat">
                    <a:noFill/>
                    <a:miter lim="400000"/>
                  </a:ln>
                  <a:effectLst/>
                </pic:spPr>
              </pic:pic>
            </a:graphicData>
          </a:graphic>
        </wp:inline>
      </w:drawing>
    </w:r>
  </w:p>
  <w:p w14:paraId="3102815F" w14:textId="77777777" w:rsidR="00A9211B" w:rsidRDefault="00A9211B">
    <w:pPr>
      <w:pStyle w:val="TGAppendixBodyHeaders"/>
      <w:ind w:left="40"/>
      <w:rPr>
        <w:rFonts w:ascii="Arial" w:hAnsi="Arial"/>
      </w:rPr>
    </w:pPr>
  </w:p>
  <w:p w14:paraId="4829F526" w14:textId="77777777" w:rsidR="00A9211B" w:rsidRDefault="00B20901">
    <w:pPr>
      <w:pStyle w:val="TGAppendixBodyHeaders"/>
      <w:ind w:left="40"/>
      <w:rPr>
        <w:rFonts w:ascii="Arial" w:eastAsia="Arial" w:hAnsi="Arial" w:cs="Arial"/>
      </w:rPr>
    </w:pPr>
    <w:r>
      <w:rPr>
        <w:rFonts w:ascii="Arial" w:hAnsi="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CAE9244" w14:textId="77777777" w:rsidR="00A9211B" w:rsidRDefault="00A9211B">
    <w:pPr>
      <w:pStyle w:val="TGAppendixBodyHeaders"/>
      <w:ind w:left="40"/>
      <w:rPr>
        <w:rFonts w:ascii="Arial" w:eastAsia="Arial" w:hAnsi="Arial" w:cs="Arial"/>
      </w:rPr>
    </w:pPr>
  </w:p>
  <w:p w14:paraId="202DFDEB" w14:textId="77777777" w:rsidR="00A9211B" w:rsidRDefault="00B20901">
    <w:pPr>
      <w:pStyle w:val="TGAppendixBodyHeaders"/>
      <w:ind w:left="40"/>
    </w:pPr>
    <w:r>
      <w:rPr>
        <w:rFonts w:ascii="Arial" w:hAnsi="Arial"/>
        <w:b/>
        <w:bCs/>
      </w:rPr>
      <w:t>For original transition documents and additional resources, templates and tools, visit presidentialtransition.org.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A833" w14:textId="77777777" w:rsidR="003D0167" w:rsidRDefault="003D0167">
      <w:r>
        <w:separator/>
      </w:r>
    </w:p>
  </w:footnote>
  <w:footnote w:type="continuationSeparator" w:id="0">
    <w:p w14:paraId="3C648757" w14:textId="77777777" w:rsidR="003D0167" w:rsidRDefault="003D0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8C9"/>
    <w:multiLevelType w:val="hybridMultilevel"/>
    <w:tmpl w:val="71B0DFA8"/>
    <w:lvl w:ilvl="0" w:tplc="B85405C0">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34CB3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CECFF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14F9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6CD0B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6458B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88145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2E835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10E44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3C57A6"/>
    <w:multiLevelType w:val="hybridMultilevel"/>
    <w:tmpl w:val="7BB4245C"/>
    <w:lvl w:ilvl="0" w:tplc="6A049212">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9A9430">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DC50A8">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6C6AF0">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485A6C">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C272A4">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0DF70">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245BCE">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0663C">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0E0210"/>
    <w:multiLevelType w:val="hybridMultilevel"/>
    <w:tmpl w:val="8F203D9E"/>
    <w:lvl w:ilvl="0" w:tplc="2A38EF74">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3C3DF6">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88D3AC">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6E7C7A">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D8CE34">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1605A0">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8E3E4">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8CA86C">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7562">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D011EB"/>
    <w:multiLevelType w:val="hybridMultilevel"/>
    <w:tmpl w:val="2C4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F30D2"/>
    <w:multiLevelType w:val="hybridMultilevel"/>
    <w:tmpl w:val="56346F32"/>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834CB3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CECFF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14F9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6CD0B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6458B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88145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2E835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10E44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EFE5C4F"/>
    <w:multiLevelType w:val="hybridMultilevel"/>
    <w:tmpl w:val="0924FA0C"/>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834CB3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CECFF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14F9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6CD0B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6458B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88145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2E835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10E44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772164"/>
    <w:multiLevelType w:val="hybridMultilevel"/>
    <w:tmpl w:val="5BE82E20"/>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834CB3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CECFF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14F9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D6CD0B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6458B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88145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2E835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10E44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DA5433"/>
    <w:multiLevelType w:val="hybridMultilevel"/>
    <w:tmpl w:val="BE24F2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1B"/>
    <w:rsid w:val="0001209C"/>
    <w:rsid w:val="000B4455"/>
    <w:rsid w:val="000B75AE"/>
    <w:rsid w:val="00101CC7"/>
    <w:rsid w:val="00204ACD"/>
    <w:rsid w:val="002F20A5"/>
    <w:rsid w:val="003D0167"/>
    <w:rsid w:val="00587F08"/>
    <w:rsid w:val="005D7BE4"/>
    <w:rsid w:val="006E4F0F"/>
    <w:rsid w:val="00710C58"/>
    <w:rsid w:val="007E18FE"/>
    <w:rsid w:val="008510F0"/>
    <w:rsid w:val="008B7F2B"/>
    <w:rsid w:val="00A42FA6"/>
    <w:rsid w:val="00A9211B"/>
    <w:rsid w:val="00AC5CF0"/>
    <w:rsid w:val="00B20901"/>
    <w:rsid w:val="00BB3494"/>
    <w:rsid w:val="00C81ED7"/>
    <w:rsid w:val="00C866DE"/>
    <w:rsid w:val="00CD62E7"/>
    <w:rsid w:val="00D445C5"/>
    <w:rsid w:val="00F3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4B2C"/>
  <w15:docId w15:val="{808B8A89-D9A1-47E7-AEF3-5F78A06F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GAppendixBodyHeaders">
    <w:name w:val="TG_Appendix Body (Headers)"/>
    <w:pPr>
      <w:widowControl w:val="0"/>
      <w:tabs>
        <w:tab w:val="left" w:pos="720"/>
      </w:tabs>
      <w:suppressAutoHyphens/>
      <w:spacing w:line="180" w:lineRule="atLeast"/>
    </w:pPr>
    <w:rPr>
      <w:rFonts w:ascii="GothamNarrow-Book" w:eastAsia="GothamNarrow-Book" w:hAnsi="GothamNarrow-Book" w:cs="GothamNarrow-Book"/>
      <w:color w:val="000000"/>
      <w:sz w:val="16"/>
      <w:szCs w:val="16"/>
      <w:u w:color="000000"/>
    </w:rPr>
  </w:style>
  <w:style w:type="paragraph" w:customStyle="1" w:styleId="Heading">
    <w:name w:val="Heading"/>
    <w:next w:val="Body"/>
    <w:pPr>
      <w:keepNext/>
      <w:keepLines/>
      <w:pBdr>
        <w:bottom w:val="single" w:sz="4" w:space="0" w:color="003055"/>
      </w:pBdr>
      <w:tabs>
        <w:tab w:val="left" w:pos="4016"/>
      </w:tabs>
      <w:spacing w:before="480" w:after="120"/>
      <w:outlineLvl w:val="0"/>
    </w:pPr>
    <w:rPr>
      <w:rFonts w:ascii="Arial" w:hAnsi="Arial" w:cs="Arial Unicode MS"/>
      <w:b/>
      <w:bCs/>
      <w:caps/>
      <w:color w:val="000000"/>
      <w:sz w:val="26"/>
      <w:szCs w:val="26"/>
      <w:u w:color="000000"/>
    </w:rPr>
  </w:style>
  <w:style w:type="paragraph" w:customStyle="1" w:styleId="Body">
    <w:name w:val="Body"/>
    <w:rPr>
      <w:rFonts w:cs="Arial Unicode MS"/>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rPr>
      <w:rFonts w:cs="Arial Unicode MS"/>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0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9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F08"/>
    <w:rPr>
      <w:b/>
      <w:bCs/>
    </w:rPr>
  </w:style>
  <w:style w:type="character" w:customStyle="1" w:styleId="CommentSubjectChar">
    <w:name w:val="Comment Subject Char"/>
    <w:basedOn w:val="CommentTextChar"/>
    <w:link w:val="CommentSubject"/>
    <w:uiPriority w:val="99"/>
    <w:semiHidden/>
    <w:rsid w:val="00587F08"/>
    <w:rPr>
      <w:b/>
      <w:bCs/>
    </w:rPr>
  </w:style>
  <w:style w:type="character" w:customStyle="1" w:styleId="subsection1">
    <w:name w:val="subsection1"/>
    <w:basedOn w:val="DefaultParagraphFont"/>
    <w:rsid w:val="00710C58"/>
    <w:rPr>
      <w:rFonts w:ascii="Arial Narrow" w:hAnsi="Arial Narrow" w:hint="default"/>
      <w:b/>
      <w:bCs/>
      <w:smallCaps/>
      <w:sz w:val="24"/>
      <w:szCs w:val="24"/>
    </w:rPr>
  </w:style>
  <w:style w:type="character" w:customStyle="1" w:styleId="example1">
    <w:name w:val="example1"/>
    <w:basedOn w:val="DefaultParagraphFont"/>
    <w:rsid w:val="00710C58"/>
    <w:rPr>
      <w:b w:val="0"/>
      <w:bCs w:val="0"/>
      <w:i/>
      <w:iCs/>
      <w:color w:val="000000"/>
      <w:sz w:val="24"/>
      <w:szCs w:val="24"/>
    </w:rPr>
  </w:style>
  <w:style w:type="paragraph" w:styleId="EndnoteText">
    <w:name w:val="endnote text"/>
    <w:basedOn w:val="Normal"/>
    <w:link w:val="EndnoteTextChar"/>
    <w:uiPriority w:val="99"/>
    <w:semiHidden/>
    <w:unhideWhenUsed/>
    <w:rsid w:val="00F363E6"/>
    <w:rPr>
      <w:sz w:val="20"/>
      <w:szCs w:val="20"/>
    </w:rPr>
  </w:style>
  <w:style w:type="character" w:customStyle="1" w:styleId="EndnoteTextChar">
    <w:name w:val="Endnote Text Char"/>
    <w:basedOn w:val="DefaultParagraphFont"/>
    <w:link w:val="EndnoteText"/>
    <w:uiPriority w:val="99"/>
    <w:semiHidden/>
    <w:rsid w:val="00F363E6"/>
  </w:style>
  <w:style w:type="character" w:styleId="EndnoteReference">
    <w:name w:val="endnote reference"/>
    <w:basedOn w:val="DefaultParagraphFont"/>
    <w:uiPriority w:val="99"/>
    <w:semiHidden/>
    <w:unhideWhenUsed/>
    <w:rsid w:val="00F36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7747">
      <w:bodyDiv w:val="1"/>
      <w:marLeft w:val="0"/>
      <w:marRight w:val="0"/>
      <w:marTop w:val="0"/>
      <w:marBottom w:val="0"/>
      <w:divBdr>
        <w:top w:val="none" w:sz="0" w:space="0" w:color="auto"/>
        <w:left w:val="none" w:sz="0" w:space="0" w:color="auto"/>
        <w:bottom w:val="none" w:sz="0" w:space="0" w:color="auto"/>
        <w:right w:val="none" w:sz="0" w:space="0" w:color="auto"/>
      </w:divBdr>
      <w:divsChild>
        <w:div w:id="1552643978">
          <w:marLeft w:val="0"/>
          <w:marRight w:val="0"/>
          <w:marTop w:val="0"/>
          <w:marBottom w:val="0"/>
          <w:divBdr>
            <w:top w:val="none" w:sz="0" w:space="0" w:color="auto"/>
            <w:left w:val="none" w:sz="0" w:space="0" w:color="auto"/>
            <w:bottom w:val="none" w:sz="0" w:space="0" w:color="auto"/>
            <w:right w:val="none" w:sz="0" w:space="0" w:color="auto"/>
          </w:divBdr>
          <w:divsChild>
            <w:div w:id="1685672034">
              <w:marLeft w:val="0"/>
              <w:marRight w:val="0"/>
              <w:marTop w:val="0"/>
              <w:marBottom w:val="0"/>
              <w:divBdr>
                <w:top w:val="none" w:sz="0" w:space="0" w:color="auto"/>
                <w:left w:val="none" w:sz="0" w:space="0" w:color="auto"/>
                <w:bottom w:val="none" w:sz="0" w:space="0" w:color="auto"/>
                <w:right w:val="none" w:sz="0" w:space="0" w:color="auto"/>
              </w:divBdr>
              <w:divsChild>
                <w:div w:id="106849540">
                  <w:marLeft w:val="0"/>
                  <w:marRight w:val="0"/>
                  <w:marTop w:val="0"/>
                  <w:marBottom w:val="0"/>
                  <w:divBdr>
                    <w:top w:val="none" w:sz="0" w:space="0" w:color="auto"/>
                    <w:left w:val="none" w:sz="0" w:space="0" w:color="auto"/>
                    <w:bottom w:val="none" w:sz="0" w:space="0" w:color="auto"/>
                    <w:right w:val="none" w:sz="0" w:space="0" w:color="auto"/>
                  </w:divBdr>
                  <w:divsChild>
                    <w:div w:id="1167554952">
                      <w:marLeft w:val="0"/>
                      <w:marRight w:val="0"/>
                      <w:marTop w:val="0"/>
                      <w:marBottom w:val="0"/>
                      <w:divBdr>
                        <w:top w:val="none" w:sz="0" w:space="0" w:color="auto"/>
                        <w:left w:val="none" w:sz="0" w:space="0" w:color="auto"/>
                        <w:bottom w:val="none" w:sz="0" w:space="0" w:color="auto"/>
                        <w:right w:val="none" w:sz="0" w:space="0" w:color="auto"/>
                      </w:divBdr>
                      <w:divsChild>
                        <w:div w:id="940798078">
                          <w:marLeft w:val="0"/>
                          <w:marRight w:val="0"/>
                          <w:marTop w:val="0"/>
                          <w:marBottom w:val="0"/>
                          <w:divBdr>
                            <w:top w:val="none" w:sz="0" w:space="0" w:color="auto"/>
                            <w:left w:val="none" w:sz="0" w:space="0" w:color="auto"/>
                            <w:bottom w:val="none" w:sz="0" w:space="0" w:color="auto"/>
                            <w:right w:val="none" w:sz="0" w:space="0" w:color="auto"/>
                          </w:divBdr>
                          <w:divsChild>
                            <w:div w:id="1798255628">
                              <w:marLeft w:val="0"/>
                              <w:marRight w:val="0"/>
                              <w:marTop w:val="0"/>
                              <w:marBottom w:val="0"/>
                              <w:divBdr>
                                <w:top w:val="none" w:sz="0" w:space="0" w:color="auto"/>
                                <w:left w:val="none" w:sz="0" w:space="0" w:color="auto"/>
                                <w:bottom w:val="none" w:sz="0" w:space="0" w:color="auto"/>
                                <w:right w:val="none" w:sz="0" w:space="0" w:color="auto"/>
                              </w:divBdr>
                              <w:divsChild>
                                <w:div w:id="1874152259">
                                  <w:marLeft w:val="0"/>
                                  <w:marRight w:val="0"/>
                                  <w:marTop w:val="0"/>
                                  <w:marBottom w:val="0"/>
                                  <w:divBdr>
                                    <w:top w:val="none" w:sz="0" w:space="0" w:color="auto"/>
                                    <w:left w:val="none" w:sz="0" w:space="0" w:color="auto"/>
                                    <w:bottom w:val="none" w:sz="0" w:space="0" w:color="auto"/>
                                    <w:right w:val="none" w:sz="0" w:space="0" w:color="auto"/>
                                  </w:divBdr>
                                  <w:divsChild>
                                    <w:div w:id="372192636">
                                      <w:marLeft w:val="0"/>
                                      <w:marRight w:val="0"/>
                                      <w:marTop w:val="0"/>
                                      <w:marBottom w:val="0"/>
                                      <w:divBdr>
                                        <w:top w:val="none" w:sz="0" w:space="0" w:color="auto"/>
                                        <w:left w:val="none" w:sz="0" w:space="0" w:color="auto"/>
                                        <w:bottom w:val="none" w:sz="0" w:space="0" w:color="auto"/>
                                        <w:right w:val="none" w:sz="0" w:space="0" w:color="auto"/>
                                      </w:divBdr>
                                      <w:divsChild>
                                        <w:div w:id="298150762">
                                          <w:marLeft w:val="0"/>
                                          <w:marRight w:val="0"/>
                                          <w:marTop w:val="0"/>
                                          <w:marBottom w:val="0"/>
                                          <w:divBdr>
                                            <w:top w:val="none" w:sz="0" w:space="0" w:color="auto"/>
                                            <w:left w:val="none" w:sz="0" w:space="0" w:color="auto"/>
                                            <w:bottom w:val="none" w:sz="0" w:space="0" w:color="auto"/>
                                            <w:right w:val="none" w:sz="0" w:space="0" w:color="auto"/>
                                          </w:divBdr>
                                        </w:div>
                                        <w:div w:id="15605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Partnership">
      <a:dk1>
        <a:srgbClr val="000000"/>
      </a:dk1>
      <a:lt1>
        <a:srgbClr val="FFFFFF"/>
      </a:lt1>
      <a:dk2>
        <a:srgbClr val="A7A7A7"/>
      </a:dk2>
      <a:lt2>
        <a:srgbClr val="535353"/>
      </a:lt2>
      <a:accent1>
        <a:srgbClr val="005789"/>
      </a:accent1>
      <a:accent2>
        <a:srgbClr val="E6B222"/>
      </a:accent2>
      <a:accent3>
        <a:srgbClr val="598527"/>
      </a:accent3>
      <a:accent4>
        <a:srgbClr val="CA6C2C"/>
      </a:accent4>
      <a:accent5>
        <a:srgbClr val="6292AE"/>
      </a:accent5>
      <a:accent6>
        <a:srgbClr val="E8CD60"/>
      </a:accent6>
      <a:hlink>
        <a:srgbClr val="0000FF"/>
      </a:hlink>
      <a:folHlink>
        <a:srgbClr val="FF00FF"/>
      </a:folHlink>
    </a:clrScheme>
    <a:fontScheme name="Partnership">
      <a:majorFont>
        <a:latin typeface="Helvetica"/>
        <a:ea typeface="Helvetica"/>
        <a:cs typeface="Helvetica"/>
      </a:majorFont>
      <a:minorFont>
        <a:latin typeface="Helvetica"/>
        <a:ea typeface="Helvetica"/>
        <a:cs typeface="Helvetica"/>
      </a:minorFont>
    </a:fontScheme>
    <a:fmtScheme name="Partnershi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B59D-AC99-46DF-A4BB-B59EF0D1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Pietrantoni</dc:creator>
  <cp:lastModifiedBy>Casey Dennison</cp:lastModifiedBy>
  <cp:revision>3</cp:revision>
  <dcterms:created xsi:type="dcterms:W3CDTF">2017-02-23T19:16:00Z</dcterms:created>
  <dcterms:modified xsi:type="dcterms:W3CDTF">2017-08-23T19:36:00Z</dcterms:modified>
</cp:coreProperties>
</file>