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5E7F" w14:textId="77777777" w:rsidR="002F0407" w:rsidRDefault="00F06A35">
      <w:pPr>
        <w:pStyle w:val="Heading"/>
        <w:spacing w:after="0"/>
        <w:rPr>
          <w:b w:val="0"/>
          <w:bCs w:val="0"/>
          <w:sz w:val="20"/>
          <w:szCs w:val="20"/>
        </w:rPr>
      </w:pPr>
      <w:r>
        <w:rPr>
          <w:b w:val="0"/>
          <w:bCs w:val="0"/>
          <w:sz w:val="20"/>
          <w:szCs w:val="20"/>
        </w:rPr>
        <w:t>POSITION DESCRIPTION</w:t>
      </w:r>
    </w:p>
    <w:p w14:paraId="0DEA1012" w14:textId="77777777" w:rsidR="002F0407" w:rsidRDefault="00F06A35">
      <w:pPr>
        <w:pStyle w:val="Heading"/>
        <w:spacing w:before="120"/>
      </w:pPr>
      <w:r>
        <w:t>Assistant Secretary for policy, Department of labor</w:t>
      </w:r>
    </w:p>
    <w:p w14:paraId="67774586" w14:textId="77777777" w:rsidR="002F0407" w:rsidRDefault="002F0407">
      <w:pPr>
        <w:pStyle w:val="Body"/>
        <w:rPr>
          <w:rFonts w:ascii="Arial" w:eastAsia="Arial" w:hAnsi="Arial" w:cs="Arial"/>
        </w:rPr>
      </w:pPr>
    </w:p>
    <w:tbl>
      <w:tblPr>
        <w:tblW w:w="9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FD9"/>
        <w:tblLayout w:type="fixed"/>
        <w:tblLook w:val="04A0" w:firstRow="1" w:lastRow="0" w:firstColumn="1" w:lastColumn="0" w:noHBand="0" w:noVBand="1"/>
      </w:tblPr>
      <w:tblGrid>
        <w:gridCol w:w="2671"/>
        <w:gridCol w:w="6791"/>
      </w:tblGrid>
      <w:tr w:rsidR="002F0407" w:rsidRPr="00384880" w14:paraId="213A8962"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65B30E5A" w14:textId="77777777" w:rsidR="002F0407" w:rsidRPr="00384880" w:rsidRDefault="00F06A35">
            <w:pPr>
              <w:pStyle w:val="Body"/>
              <w:jc w:val="center"/>
              <w:rPr>
                <w:rFonts w:ascii="Arial" w:hAnsi="Arial" w:cs="Arial"/>
              </w:rPr>
            </w:pPr>
            <w:r w:rsidRPr="00384880">
              <w:rPr>
                <w:rFonts w:ascii="Arial" w:hAnsi="Arial" w:cs="Arial"/>
                <w:b/>
                <w:bCs/>
                <w:color w:val="FFFFFF"/>
                <w:u w:color="FFFFFF"/>
              </w:rPr>
              <w:t>OVERVIEW</w:t>
            </w:r>
          </w:p>
        </w:tc>
      </w:tr>
      <w:tr w:rsidR="002F0407" w:rsidRPr="00384880" w14:paraId="77CC0057"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5DB543A6" w14:textId="77777777" w:rsidR="002F0407" w:rsidRPr="00384880" w:rsidRDefault="00F06A35">
            <w:pPr>
              <w:pStyle w:val="Body"/>
              <w:rPr>
                <w:rFonts w:ascii="Arial" w:hAnsi="Arial" w:cs="Arial"/>
              </w:rPr>
            </w:pPr>
            <w:r w:rsidRPr="00384880">
              <w:rPr>
                <w:rFonts w:ascii="Arial" w:hAnsi="Arial" w:cs="Arial"/>
              </w:rPr>
              <w:t>Senate Committee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12959" w14:textId="77777777" w:rsidR="002F0407" w:rsidRPr="00384880" w:rsidRDefault="00F06A35">
            <w:pPr>
              <w:pStyle w:val="Body"/>
              <w:rPr>
                <w:rFonts w:ascii="Arial" w:hAnsi="Arial" w:cs="Arial"/>
              </w:rPr>
            </w:pPr>
            <w:r w:rsidRPr="00384880">
              <w:rPr>
                <w:rFonts w:ascii="Arial" w:hAnsi="Arial" w:cs="Arial"/>
              </w:rPr>
              <w:t>Health, Education, Labor and Pensions</w:t>
            </w:r>
          </w:p>
        </w:tc>
      </w:tr>
      <w:tr w:rsidR="002F0407" w:rsidRPr="00384880" w14:paraId="0C18ED18" w14:textId="77777777">
        <w:trPr>
          <w:trHeight w:val="9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835EE9B" w14:textId="77777777" w:rsidR="002F0407" w:rsidRPr="00384880" w:rsidRDefault="00F06A35">
            <w:pPr>
              <w:pStyle w:val="Body"/>
              <w:rPr>
                <w:rFonts w:ascii="Arial" w:hAnsi="Arial" w:cs="Arial"/>
              </w:rPr>
            </w:pPr>
            <w:r w:rsidRPr="00384880">
              <w:rPr>
                <w:rFonts w:ascii="Arial" w:hAnsi="Arial" w:cs="Arial"/>
              </w:rPr>
              <w:t>Agency Mission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FAAD0" w14:textId="77777777" w:rsidR="002F0407" w:rsidRPr="00384880" w:rsidRDefault="00F06A35">
            <w:pPr>
              <w:pStyle w:val="Body"/>
              <w:rPr>
                <w:rFonts w:ascii="Arial" w:hAnsi="Arial" w:cs="Arial"/>
              </w:rPr>
            </w:pPr>
            <w:r w:rsidRPr="00384880">
              <w:rPr>
                <w:rFonts w:ascii="Arial" w:hAnsi="Arial" w:cs="Arial"/>
              </w:rPr>
              <w:t>To foster and promote the welfare of job seekers, wage earners and retirees of the United States by improving their working conditions, advancing their opportunities for profitable employment and protecting benefits</w:t>
            </w:r>
          </w:p>
        </w:tc>
      </w:tr>
      <w:tr w:rsidR="002F0407" w:rsidRPr="00384880" w14:paraId="73D50262" w14:textId="77777777">
        <w:trPr>
          <w:trHeight w:val="11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334C6B31" w14:textId="77777777" w:rsidR="002F0407" w:rsidRPr="00384880" w:rsidRDefault="00F06A35">
            <w:pPr>
              <w:pStyle w:val="Body"/>
              <w:rPr>
                <w:rFonts w:ascii="Arial" w:hAnsi="Arial" w:cs="Arial"/>
              </w:rPr>
            </w:pPr>
            <w:r w:rsidRPr="00384880">
              <w:rPr>
                <w:rFonts w:ascii="Arial" w:hAnsi="Arial" w:cs="Arial"/>
              </w:rPr>
              <w:t>Position Overview</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8F67E" w14:textId="77777777" w:rsidR="002F0407" w:rsidRPr="00384880" w:rsidRDefault="00F06A35">
            <w:pPr>
              <w:pStyle w:val="Body"/>
              <w:widowControl w:val="0"/>
              <w:tabs>
                <w:tab w:val="left" w:pos="6390"/>
              </w:tabs>
              <w:rPr>
                <w:rFonts w:ascii="Arial" w:hAnsi="Arial" w:cs="Arial"/>
              </w:rPr>
            </w:pPr>
            <w:r w:rsidRPr="00384880">
              <w:rPr>
                <w:rFonts w:ascii="Arial" w:hAnsi="Arial" w:cs="Arial"/>
              </w:rPr>
              <w:t>The assistant secretary of labor provides advice and assistance to the secretary, deputy secretary and agency and administration officials on policy, regulations, legislation, program initiatives, compliance assistance strategies, research and evaluation, budget and performance</w:t>
            </w:r>
            <w:r w:rsidR="00C53060" w:rsidRPr="00384880">
              <w:rPr>
                <w:rFonts w:ascii="Arial" w:hAnsi="Arial" w:cs="Arial"/>
              </w:rPr>
              <w:t>,</w:t>
            </w:r>
            <w:r w:rsidRPr="00384880">
              <w:rPr>
                <w:rFonts w:ascii="Arial" w:hAnsi="Arial" w:cs="Arial"/>
              </w:rPr>
              <w:t xml:space="preserve"> and legislation.</w:t>
            </w:r>
          </w:p>
        </w:tc>
      </w:tr>
      <w:tr w:rsidR="002F0407" w:rsidRPr="00384880" w14:paraId="0F5744D0"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4DC955CC" w14:textId="77777777" w:rsidR="002F0407" w:rsidRPr="00384880" w:rsidRDefault="00F06A35">
            <w:pPr>
              <w:pStyle w:val="Body"/>
              <w:rPr>
                <w:rFonts w:ascii="Arial" w:hAnsi="Arial" w:cs="Arial"/>
              </w:rPr>
            </w:pPr>
            <w:r w:rsidRPr="00384880">
              <w:rPr>
                <w:rFonts w:ascii="Arial" w:hAnsi="Arial" w:cs="Arial"/>
              </w:rPr>
              <w:t>Compensation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D580A" w14:textId="15A9567E" w:rsidR="002F0407" w:rsidRPr="00384880" w:rsidRDefault="00AA6237" w:rsidP="00104422">
            <w:pPr>
              <w:pStyle w:val="Body"/>
              <w:rPr>
                <w:rFonts w:ascii="Arial" w:hAnsi="Arial" w:cs="Arial"/>
              </w:rPr>
            </w:pPr>
            <w:r w:rsidRPr="00384880">
              <w:rPr>
                <w:rFonts w:ascii="Arial" w:hAnsi="Arial" w:cs="Arial"/>
              </w:rPr>
              <w:t>Level IV $</w:t>
            </w:r>
            <w:r w:rsidR="00104422">
              <w:rPr>
                <w:rFonts w:ascii="Arial" w:hAnsi="Arial" w:cs="Arial"/>
              </w:rPr>
              <w:t>155,500</w:t>
            </w:r>
            <w:r w:rsidR="00F06A35" w:rsidRPr="00384880">
              <w:rPr>
                <w:rFonts w:ascii="Arial" w:hAnsi="Arial" w:cs="Arial"/>
              </w:rPr>
              <w:t xml:space="preserve"> (5 U.S.C. § 5315)</w:t>
            </w:r>
            <w:r w:rsidR="00384880" w:rsidRPr="00384880">
              <w:rPr>
                <w:rStyle w:val="EndnoteReference"/>
                <w:rFonts w:ascii="Arial" w:hAnsi="Arial" w:cs="Arial"/>
              </w:rPr>
              <w:endnoteReference w:id="1"/>
            </w:r>
          </w:p>
        </w:tc>
      </w:tr>
      <w:tr w:rsidR="002F0407" w:rsidRPr="00384880" w14:paraId="7FE268B1"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21F7967D" w14:textId="77777777" w:rsidR="002F0407" w:rsidRPr="00384880" w:rsidRDefault="00F06A35">
            <w:pPr>
              <w:pStyle w:val="Body"/>
              <w:rPr>
                <w:rFonts w:ascii="Arial" w:hAnsi="Arial" w:cs="Arial"/>
              </w:rPr>
            </w:pPr>
            <w:r w:rsidRPr="00384880">
              <w:rPr>
                <w:rFonts w:ascii="Arial" w:hAnsi="Arial" w:cs="Arial"/>
              </w:rPr>
              <w:t>Position Reports to</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4F25B" w14:textId="77777777" w:rsidR="002F0407" w:rsidRPr="00384880" w:rsidRDefault="00F06A35" w:rsidP="00F06A35">
            <w:pPr>
              <w:pStyle w:val="Body"/>
              <w:tabs>
                <w:tab w:val="left" w:pos="2295"/>
              </w:tabs>
              <w:rPr>
                <w:rFonts w:ascii="Arial" w:hAnsi="Arial" w:cs="Arial"/>
                <w:color w:val="auto"/>
              </w:rPr>
            </w:pPr>
            <w:r w:rsidRPr="00384880">
              <w:rPr>
                <w:rFonts w:ascii="Arial" w:hAnsi="Arial" w:cs="Arial"/>
                <w:color w:val="auto"/>
                <w:u w:color="FF0000"/>
              </w:rPr>
              <w:t>Secretary of Labor</w:t>
            </w:r>
            <w:r w:rsidRPr="00384880">
              <w:rPr>
                <w:rFonts w:ascii="Arial" w:hAnsi="Arial" w:cs="Arial"/>
                <w:color w:val="auto"/>
                <w:u w:color="FF0000"/>
              </w:rPr>
              <w:tab/>
            </w:r>
          </w:p>
        </w:tc>
      </w:tr>
      <w:tr w:rsidR="002F0407" w:rsidRPr="00384880" w14:paraId="7EC312FB"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2BD75420" w14:textId="77777777" w:rsidR="002F0407" w:rsidRPr="00384880" w:rsidRDefault="00F06A35">
            <w:pPr>
              <w:pStyle w:val="Body"/>
              <w:jc w:val="center"/>
              <w:rPr>
                <w:rFonts w:ascii="Arial" w:hAnsi="Arial" w:cs="Arial"/>
              </w:rPr>
            </w:pPr>
            <w:r w:rsidRPr="00384880">
              <w:rPr>
                <w:rFonts w:ascii="Arial" w:hAnsi="Arial" w:cs="Arial"/>
                <w:b/>
                <w:bCs/>
                <w:color w:val="FFFFFF"/>
                <w:u w:color="FFFFFF"/>
              </w:rPr>
              <w:t>RESPONSIBILITIES</w:t>
            </w:r>
          </w:p>
        </w:tc>
      </w:tr>
      <w:tr w:rsidR="002F0407" w:rsidRPr="00384880" w14:paraId="2C0EC5D6" w14:textId="77777777">
        <w:trPr>
          <w:trHeight w:val="4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CBC32B4" w14:textId="77777777" w:rsidR="002F0407" w:rsidRPr="00384880" w:rsidRDefault="00F06A35">
            <w:pPr>
              <w:pStyle w:val="Body"/>
              <w:rPr>
                <w:rFonts w:ascii="Arial" w:hAnsi="Arial" w:cs="Arial"/>
              </w:rPr>
            </w:pPr>
            <w:r w:rsidRPr="00384880">
              <w:rPr>
                <w:rFonts w:ascii="Arial" w:hAnsi="Arial" w:cs="Arial"/>
              </w:rPr>
              <w:t>Management Scope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F1DF41" w14:textId="77777777" w:rsidR="002F0407" w:rsidRPr="00384880" w:rsidRDefault="00F06A35">
            <w:pPr>
              <w:pStyle w:val="Body"/>
              <w:rPr>
                <w:rFonts w:ascii="Arial" w:hAnsi="Arial" w:cs="Arial"/>
              </w:rPr>
            </w:pPr>
            <w:r w:rsidRPr="00384880">
              <w:rPr>
                <w:rFonts w:ascii="Arial" w:hAnsi="Arial" w:cs="Arial"/>
              </w:rPr>
              <w:t>In fiscal 2016, the Office of the Assistant Secretary for Policy had an enacted budget of $5.8 million and 36 full-time equivalents.</w:t>
            </w:r>
          </w:p>
        </w:tc>
      </w:tr>
      <w:tr w:rsidR="002F0407" w:rsidRPr="00384880" w14:paraId="641ADE3D" w14:textId="77777777">
        <w:trPr>
          <w:trHeight w:val="4637"/>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4DC87B15" w14:textId="77777777" w:rsidR="002F0407" w:rsidRPr="00384880" w:rsidRDefault="00F06A35">
            <w:pPr>
              <w:pStyle w:val="Body"/>
              <w:rPr>
                <w:rFonts w:ascii="Arial" w:hAnsi="Arial" w:cs="Arial"/>
              </w:rPr>
            </w:pPr>
            <w:r w:rsidRPr="00384880">
              <w:rPr>
                <w:rFonts w:ascii="Arial" w:hAnsi="Arial" w:cs="Arial"/>
              </w:rPr>
              <w:t>Primary Responsibilities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26B464" w14:textId="77777777" w:rsidR="002F0407" w:rsidRPr="00384880" w:rsidRDefault="00F06A35" w:rsidP="00F06A35">
            <w:pPr>
              <w:pStyle w:val="Body"/>
              <w:numPr>
                <w:ilvl w:val="0"/>
                <w:numId w:val="4"/>
              </w:numPr>
              <w:spacing w:line="276" w:lineRule="auto"/>
              <w:rPr>
                <w:rFonts w:ascii="Arial" w:hAnsi="Arial" w:cs="Arial"/>
              </w:rPr>
            </w:pPr>
            <w:r w:rsidRPr="00384880">
              <w:rPr>
                <w:rFonts w:ascii="Arial" w:hAnsi="Arial" w:cs="Arial"/>
              </w:rPr>
              <w:t>Supports and facilitates the development and implementation of the department’s policies, regulations, legislation, domestic and international program initiatives, budget and communications</w:t>
            </w:r>
          </w:p>
          <w:p w14:paraId="2AE3190D" w14:textId="77777777" w:rsidR="002F0407" w:rsidRPr="00384880" w:rsidRDefault="00F06A35" w:rsidP="00F06A35">
            <w:pPr>
              <w:pStyle w:val="Body"/>
              <w:numPr>
                <w:ilvl w:val="0"/>
                <w:numId w:val="4"/>
              </w:numPr>
              <w:spacing w:line="276" w:lineRule="auto"/>
              <w:rPr>
                <w:rFonts w:ascii="Arial" w:hAnsi="Arial" w:cs="Arial"/>
              </w:rPr>
            </w:pPr>
            <w:r w:rsidRPr="00384880">
              <w:rPr>
                <w:rFonts w:ascii="Arial" w:hAnsi="Arial" w:cs="Arial"/>
              </w:rPr>
              <w:t>Provides direct policy and analytical support to the secretary of labor, deputy secretary</w:t>
            </w:r>
            <w:r w:rsidR="00C53060" w:rsidRPr="00384880">
              <w:rPr>
                <w:rFonts w:ascii="Arial" w:hAnsi="Arial" w:cs="Arial"/>
              </w:rPr>
              <w:t>,</w:t>
            </w:r>
            <w:r w:rsidRPr="00384880">
              <w:rPr>
                <w:rFonts w:ascii="Arial" w:hAnsi="Arial" w:cs="Arial"/>
              </w:rPr>
              <w:t xml:space="preserve"> and department and administration officials</w:t>
            </w:r>
          </w:p>
          <w:p w14:paraId="6544CE74" w14:textId="77777777" w:rsidR="002F0407" w:rsidRPr="00384880" w:rsidRDefault="00F06A35" w:rsidP="00F06A35">
            <w:pPr>
              <w:pStyle w:val="Body"/>
              <w:numPr>
                <w:ilvl w:val="0"/>
                <w:numId w:val="4"/>
              </w:numPr>
              <w:spacing w:line="276" w:lineRule="auto"/>
              <w:rPr>
                <w:rFonts w:ascii="Arial" w:hAnsi="Arial" w:cs="Arial"/>
              </w:rPr>
            </w:pPr>
            <w:r w:rsidRPr="00384880">
              <w:rPr>
                <w:rFonts w:ascii="Arial" w:hAnsi="Arial" w:cs="Arial"/>
              </w:rPr>
              <w:t>Develops and maintains strong economic analysis capabilities</w:t>
            </w:r>
          </w:p>
          <w:p w14:paraId="1BB123F7" w14:textId="77777777" w:rsidR="002F0407" w:rsidRPr="00384880" w:rsidRDefault="00F06A35" w:rsidP="00F06A35">
            <w:pPr>
              <w:pStyle w:val="Body"/>
              <w:numPr>
                <w:ilvl w:val="0"/>
                <w:numId w:val="4"/>
              </w:numPr>
              <w:spacing w:line="276" w:lineRule="auto"/>
              <w:rPr>
                <w:rFonts w:ascii="Arial" w:hAnsi="Arial" w:cs="Arial"/>
              </w:rPr>
            </w:pPr>
            <w:r w:rsidRPr="00384880">
              <w:rPr>
                <w:rFonts w:ascii="Arial" w:hAnsi="Arial" w:cs="Arial"/>
              </w:rPr>
              <w:t>Coordinates and communicates departmental capabilities with the administration</w:t>
            </w:r>
          </w:p>
          <w:p w14:paraId="75BD7CD0" w14:textId="17FCA0DC" w:rsidR="002F0407" w:rsidRPr="00384880" w:rsidRDefault="00F06A35" w:rsidP="00F06A35">
            <w:pPr>
              <w:pStyle w:val="Body"/>
              <w:numPr>
                <w:ilvl w:val="0"/>
                <w:numId w:val="4"/>
              </w:numPr>
              <w:spacing w:line="276" w:lineRule="auto"/>
              <w:rPr>
                <w:rFonts w:ascii="Arial" w:hAnsi="Arial" w:cs="Arial"/>
              </w:rPr>
            </w:pPr>
            <w:r w:rsidRPr="00384880">
              <w:rPr>
                <w:rFonts w:ascii="Arial" w:hAnsi="Arial" w:cs="Arial"/>
              </w:rPr>
              <w:t>Represents department positions to Congress, media, employee and employer associations, foreign governments and nongovernmental organizations</w:t>
            </w:r>
          </w:p>
          <w:p w14:paraId="016A3FB6" w14:textId="41851B15" w:rsidR="002F0407" w:rsidRPr="00384880" w:rsidRDefault="00F06A35">
            <w:pPr>
              <w:pStyle w:val="Body"/>
              <w:numPr>
                <w:ilvl w:val="0"/>
                <w:numId w:val="4"/>
              </w:numPr>
              <w:spacing w:line="276" w:lineRule="auto"/>
              <w:rPr>
                <w:rFonts w:ascii="Arial" w:hAnsi="Arial" w:cs="Arial"/>
              </w:rPr>
            </w:pPr>
            <w:r w:rsidRPr="00384880">
              <w:rPr>
                <w:rFonts w:ascii="Arial" w:hAnsi="Arial" w:cs="Arial"/>
              </w:rPr>
              <w:t>Works closely with secretary of labor, deputy secretary, department and agency officials, Congress, employee employer associations, foreign government officials, agencies and nongovernmental organizations</w:t>
            </w:r>
          </w:p>
        </w:tc>
      </w:tr>
      <w:tr w:rsidR="002F0407" w:rsidRPr="00384880" w14:paraId="3A207F3E" w14:textId="77777777">
        <w:trPr>
          <w:trHeight w:val="11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5CCC20B" w14:textId="77777777" w:rsidR="002F0407" w:rsidRPr="00384880" w:rsidRDefault="00F06A35">
            <w:pPr>
              <w:pStyle w:val="Body"/>
              <w:rPr>
                <w:rFonts w:ascii="Arial" w:hAnsi="Arial" w:cs="Arial"/>
              </w:rPr>
            </w:pPr>
            <w:r w:rsidRPr="00384880">
              <w:rPr>
                <w:rFonts w:ascii="Arial" w:hAnsi="Arial" w:cs="Arial"/>
              </w:rPr>
              <w:lastRenderedPageBreak/>
              <w:t>Strategic Goals and Priorities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14:paraId="4B3D1D47" w14:textId="77777777" w:rsidR="002F0407" w:rsidRPr="00384880" w:rsidRDefault="002F0407">
            <w:pPr>
              <w:pStyle w:val="Body"/>
              <w:ind w:left="72"/>
              <w:jc w:val="center"/>
              <w:rPr>
                <w:rFonts w:ascii="Arial" w:eastAsia="Arial" w:hAnsi="Arial" w:cs="Arial"/>
              </w:rPr>
            </w:pPr>
          </w:p>
          <w:p w14:paraId="0298FB3F" w14:textId="77777777" w:rsidR="002F0407" w:rsidRPr="00384880" w:rsidRDefault="002F0407">
            <w:pPr>
              <w:pStyle w:val="Body"/>
              <w:ind w:left="72"/>
              <w:jc w:val="center"/>
              <w:rPr>
                <w:rFonts w:ascii="Arial" w:eastAsia="Arial" w:hAnsi="Arial" w:cs="Arial"/>
              </w:rPr>
            </w:pPr>
          </w:p>
          <w:p w14:paraId="41EB5A2E" w14:textId="77777777" w:rsidR="002F0407" w:rsidRPr="00384880" w:rsidRDefault="00F06A35">
            <w:pPr>
              <w:pStyle w:val="Body"/>
              <w:ind w:left="72"/>
              <w:jc w:val="center"/>
              <w:rPr>
                <w:rFonts w:ascii="Arial" w:eastAsia="Arial" w:hAnsi="Arial" w:cs="Arial"/>
              </w:rPr>
            </w:pPr>
            <w:r w:rsidRPr="00384880">
              <w:rPr>
                <w:rFonts w:ascii="Arial" w:hAnsi="Arial" w:cs="Arial"/>
              </w:rPr>
              <w:t>[Depends on the policy priorities of the administration]</w:t>
            </w:r>
          </w:p>
          <w:p w14:paraId="7CEF7CB0" w14:textId="77777777" w:rsidR="002F0407" w:rsidRPr="00384880" w:rsidRDefault="002F0407">
            <w:pPr>
              <w:pStyle w:val="Body"/>
              <w:ind w:left="72"/>
              <w:jc w:val="center"/>
              <w:rPr>
                <w:rFonts w:ascii="Arial" w:hAnsi="Arial" w:cs="Arial"/>
              </w:rPr>
            </w:pPr>
          </w:p>
          <w:p w14:paraId="0A8F64F3" w14:textId="77777777" w:rsidR="00F06A35" w:rsidRPr="00384880" w:rsidRDefault="00F06A35">
            <w:pPr>
              <w:pStyle w:val="Body"/>
              <w:ind w:left="72"/>
              <w:jc w:val="center"/>
              <w:rPr>
                <w:rFonts w:ascii="Arial" w:hAnsi="Arial" w:cs="Arial"/>
              </w:rPr>
            </w:pPr>
          </w:p>
        </w:tc>
      </w:tr>
      <w:tr w:rsidR="002F0407" w:rsidRPr="00384880" w14:paraId="1ACACEBB"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0BBE3383" w14:textId="77777777" w:rsidR="002F0407" w:rsidRPr="00384880" w:rsidRDefault="00F06A35">
            <w:pPr>
              <w:pStyle w:val="Body"/>
              <w:jc w:val="center"/>
              <w:rPr>
                <w:rFonts w:ascii="Arial" w:hAnsi="Arial" w:cs="Arial"/>
              </w:rPr>
            </w:pPr>
            <w:r w:rsidRPr="00384880">
              <w:rPr>
                <w:rFonts w:ascii="Arial" w:hAnsi="Arial" w:cs="Arial"/>
                <w:b/>
                <w:bCs/>
                <w:color w:val="FFFFFF"/>
                <w:u w:color="FFFFFF"/>
              </w:rPr>
              <w:t>REQUIREMENTS AND COMPETENCIES</w:t>
            </w:r>
          </w:p>
        </w:tc>
      </w:tr>
      <w:tr w:rsidR="002F0407" w:rsidRPr="00384880" w14:paraId="5A6A7481" w14:textId="77777777">
        <w:trPr>
          <w:trHeight w:val="1303"/>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169A0DD" w14:textId="77777777" w:rsidR="002F0407" w:rsidRPr="00384880" w:rsidRDefault="00F06A35">
            <w:pPr>
              <w:pStyle w:val="Body"/>
              <w:rPr>
                <w:rFonts w:ascii="Arial" w:hAnsi="Arial" w:cs="Arial"/>
              </w:rPr>
            </w:pPr>
            <w:r w:rsidRPr="00384880">
              <w:rPr>
                <w:rFonts w:ascii="Arial" w:hAnsi="Arial" w:cs="Arial"/>
              </w:rPr>
              <w:t>Requirements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D42AE" w14:textId="77777777" w:rsidR="002F0407" w:rsidRPr="00384880" w:rsidRDefault="00F06A35" w:rsidP="00F06A35">
            <w:pPr>
              <w:pStyle w:val="Body"/>
              <w:numPr>
                <w:ilvl w:val="0"/>
                <w:numId w:val="5"/>
              </w:numPr>
              <w:spacing w:line="276" w:lineRule="auto"/>
              <w:rPr>
                <w:rFonts w:ascii="Arial" w:hAnsi="Arial" w:cs="Arial"/>
              </w:rPr>
            </w:pPr>
            <w:r w:rsidRPr="00384880">
              <w:rPr>
                <w:rFonts w:ascii="Arial" w:hAnsi="Arial" w:cs="Arial"/>
              </w:rPr>
              <w:t>Experience in public administration and private business</w:t>
            </w:r>
          </w:p>
          <w:p w14:paraId="3B040BEA" w14:textId="77777777" w:rsidR="002F0407" w:rsidRPr="00384880" w:rsidRDefault="00F06A35" w:rsidP="00F06A35">
            <w:pPr>
              <w:pStyle w:val="Body"/>
              <w:numPr>
                <w:ilvl w:val="0"/>
                <w:numId w:val="5"/>
              </w:numPr>
              <w:spacing w:line="276" w:lineRule="auto"/>
              <w:rPr>
                <w:rFonts w:ascii="Arial" w:hAnsi="Arial" w:cs="Arial"/>
              </w:rPr>
            </w:pPr>
            <w:r w:rsidRPr="00384880">
              <w:rPr>
                <w:rFonts w:ascii="Arial" w:hAnsi="Arial" w:cs="Arial"/>
              </w:rPr>
              <w:t>Background in the federal regulatory process</w:t>
            </w:r>
          </w:p>
          <w:p w14:paraId="2549EFD8" w14:textId="77777777" w:rsidR="002F0407" w:rsidRPr="00384880" w:rsidRDefault="00F06A35" w:rsidP="00F06A35">
            <w:pPr>
              <w:pStyle w:val="Body"/>
              <w:numPr>
                <w:ilvl w:val="0"/>
                <w:numId w:val="5"/>
              </w:numPr>
              <w:spacing w:line="276" w:lineRule="auto"/>
              <w:rPr>
                <w:rFonts w:ascii="Arial" w:hAnsi="Arial" w:cs="Arial"/>
              </w:rPr>
            </w:pPr>
            <w:r w:rsidRPr="00384880">
              <w:rPr>
                <w:rFonts w:ascii="Arial" w:hAnsi="Arial" w:cs="Arial"/>
              </w:rPr>
              <w:t>Understanding of labor economics</w:t>
            </w:r>
          </w:p>
          <w:p w14:paraId="2082F129" w14:textId="77777777" w:rsidR="002F0407" w:rsidRPr="00384880" w:rsidRDefault="00F06A35" w:rsidP="00F06A35">
            <w:pPr>
              <w:pStyle w:val="ListParagraph"/>
              <w:numPr>
                <w:ilvl w:val="0"/>
                <w:numId w:val="5"/>
              </w:numPr>
              <w:rPr>
                <w:rFonts w:ascii="Arial" w:hAnsi="Arial" w:cs="Arial"/>
              </w:rPr>
            </w:pPr>
            <w:r w:rsidRPr="00384880">
              <w:rPr>
                <w:rFonts w:ascii="Arial" w:hAnsi="Arial" w:cs="Arial"/>
              </w:rPr>
              <w:t>Experience or demonstrated ability designing, contracting for and managing evaluative research</w:t>
            </w:r>
          </w:p>
        </w:tc>
      </w:tr>
      <w:tr w:rsidR="002F0407" w:rsidRPr="00384880" w14:paraId="3E443ACB" w14:textId="77777777">
        <w:trPr>
          <w:trHeight w:val="9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4104650F" w14:textId="77777777" w:rsidR="002F0407" w:rsidRPr="00384880" w:rsidRDefault="00F06A35">
            <w:pPr>
              <w:pStyle w:val="Body"/>
              <w:rPr>
                <w:rFonts w:ascii="Arial" w:hAnsi="Arial" w:cs="Arial"/>
              </w:rPr>
            </w:pPr>
            <w:r w:rsidRPr="00384880">
              <w:rPr>
                <w:rFonts w:ascii="Arial" w:hAnsi="Arial" w:cs="Arial"/>
              </w:rPr>
              <w:t>Competencies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A5D560" w14:textId="43B27E11" w:rsidR="002F0407" w:rsidRPr="00384880" w:rsidRDefault="00F06A35" w:rsidP="00F06A35">
            <w:pPr>
              <w:pStyle w:val="ListParagraph"/>
              <w:numPr>
                <w:ilvl w:val="0"/>
                <w:numId w:val="6"/>
              </w:numPr>
              <w:rPr>
                <w:rFonts w:ascii="Arial" w:hAnsi="Arial" w:cs="Arial"/>
              </w:rPr>
            </w:pPr>
            <w:r w:rsidRPr="00384880">
              <w:rPr>
                <w:rFonts w:ascii="Arial" w:hAnsi="Arial" w:cs="Arial"/>
              </w:rPr>
              <w:t xml:space="preserve">Ability to effectively coordinate </w:t>
            </w:r>
            <w:r w:rsidR="000102DA" w:rsidRPr="00384880">
              <w:rPr>
                <w:rFonts w:ascii="Arial" w:hAnsi="Arial" w:cs="Arial"/>
              </w:rPr>
              <w:t>and communicate across several</w:t>
            </w:r>
            <w:r w:rsidRPr="00384880">
              <w:rPr>
                <w:rFonts w:ascii="Arial" w:hAnsi="Arial" w:cs="Arial"/>
              </w:rPr>
              <w:t xml:space="preserve"> agencies</w:t>
            </w:r>
          </w:p>
          <w:p w14:paraId="54F7B76A" w14:textId="77777777" w:rsidR="002F0407" w:rsidRPr="00384880" w:rsidRDefault="00F06A35" w:rsidP="00F06A35">
            <w:pPr>
              <w:pStyle w:val="ListParagraph"/>
              <w:numPr>
                <w:ilvl w:val="0"/>
                <w:numId w:val="6"/>
              </w:numPr>
              <w:rPr>
                <w:rFonts w:ascii="Arial" w:hAnsi="Arial" w:cs="Arial"/>
              </w:rPr>
            </w:pPr>
            <w:r w:rsidRPr="00384880">
              <w:rPr>
                <w:rFonts w:ascii="Arial" w:hAnsi="Arial" w:cs="Arial"/>
              </w:rPr>
              <w:t>Experience or demonstrated ability with public relations (communicating and selling complex policy ideas)</w:t>
            </w:r>
          </w:p>
        </w:tc>
      </w:tr>
      <w:tr w:rsidR="002F0407" w:rsidRPr="00384880" w14:paraId="6F4EBDB8"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5A905D0E" w14:textId="77777777" w:rsidR="002F0407" w:rsidRPr="00384880" w:rsidRDefault="00F06A35">
            <w:pPr>
              <w:pStyle w:val="Body"/>
              <w:jc w:val="center"/>
              <w:rPr>
                <w:rFonts w:ascii="Arial" w:hAnsi="Arial" w:cs="Arial"/>
              </w:rPr>
            </w:pPr>
            <w:r w:rsidRPr="00384880">
              <w:rPr>
                <w:rFonts w:ascii="Arial" w:hAnsi="Arial" w:cs="Arial"/>
                <w:b/>
                <w:bCs/>
                <w:color w:val="FFFFFF"/>
                <w:u w:color="FFFFFF"/>
              </w:rPr>
              <w:t>PAST APPOINTEES</w:t>
            </w:r>
          </w:p>
        </w:tc>
      </w:tr>
      <w:tr w:rsidR="002F0407" w:rsidRPr="00384880" w14:paraId="08D1007C" w14:textId="77777777">
        <w:trPr>
          <w:trHeight w:val="95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141AB" w14:textId="77777777" w:rsidR="002F0407" w:rsidRPr="00384880" w:rsidRDefault="00F06A35">
            <w:pPr>
              <w:pStyle w:val="Body"/>
              <w:rPr>
                <w:rFonts w:ascii="Arial" w:hAnsi="Arial" w:cs="Arial"/>
              </w:rPr>
            </w:pPr>
            <w:r w:rsidRPr="00384880">
              <w:rPr>
                <w:rFonts w:ascii="Arial" w:hAnsi="Arial" w:cs="Arial"/>
              </w:rPr>
              <w:t xml:space="preserve">William E. </w:t>
            </w:r>
            <w:proofErr w:type="spellStart"/>
            <w:r w:rsidRPr="00384880">
              <w:rPr>
                <w:rFonts w:ascii="Arial" w:hAnsi="Arial" w:cs="Arial"/>
              </w:rPr>
              <w:t>Spriggs</w:t>
            </w:r>
            <w:proofErr w:type="spellEnd"/>
            <w:r w:rsidRPr="00384880">
              <w:rPr>
                <w:rFonts w:ascii="Arial" w:hAnsi="Arial" w:cs="Arial"/>
              </w:rPr>
              <w:t xml:space="preserve"> (2009 to 2010): Professor and Department Chair of Economics, Howard University; Senior Advisor and Economist, Economics and Statistics Administration, Department of Commerce; Senior Advisor, Office of Government Contracting and Minority Business Development, Small Business Administration</w:t>
            </w:r>
          </w:p>
        </w:tc>
      </w:tr>
      <w:tr w:rsidR="002F0407" w:rsidRPr="00384880" w14:paraId="54F91AD3" w14:textId="77777777">
        <w:trPr>
          <w:trHeight w:val="47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C53D6" w14:textId="77777777" w:rsidR="002F0407" w:rsidRPr="00384880" w:rsidRDefault="00F06A35">
            <w:pPr>
              <w:pStyle w:val="Body"/>
              <w:rPr>
                <w:rFonts w:ascii="Arial" w:hAnsi="Arial" w:cs="Arial"/>
              </w:rPr>
            </w:pPr>
            <w:r w:rsidRPr="00384880">
              <w:rPr>
                <w:rFonts w:ascii="Arial" w:hAnsi="Arial" w:cs="Arial"/>
              </w:rPr>
              <w:t xml:space="preserve">Leon R. </w:t>
            </w:r>
            <w:proofErr w:type="spellStart"/>
            <w:r w:rsidRPr="00384880">
              <w:rPr>
                <w:rFonts w:ascii="Arial" w:hAnsi="Arial" w:cs="Arial"/>
              </w:rPr>
              <w:t>Sequeira</w:t>
            </w:r>
            <w:proofErr w:type="spellEnd"/>
            <w:r w:rsidRPr="00384880">
              <w:rPr>
                <w:rFonts w:ascii="Arial" w:hAnsi="Arial" w:cs="Arial"/>
              </w:rPr>
              <w:t xml:space="preserve"> (2007 to 2008): Legal Counsel to Senator Mitch McConnell; Counsel to Senate Rules Committee</w:t>
            </w:r>
          </w:p>
        </w:tc>
      </w:tr>
      <w:tr w:rsidR="002F0407" w:rsidRPr="00384880" w14:paraId="1888A4D6" w14:textId="77777777">
        <w:trPr>
          <w:trHeight w:val="71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86E192" w14:textId="77777777" w:rsidR="002F0407" w:rsidRPr="00384880" w:rsidRDefault="00F06A35">
            <w:pPr>
              <w:pStyle w:val="Body"/>
              <w:rPr>
                <w:rFonts w:ascii="Arial" w:hAnsi="Arial" w:cs="Arial"/>
              </w:rPr>
            </w:pPr>
            <w:r w:rsidRPr="00384880">
              <w:rPr>
                <w:rFonts w:ascii="Arial" w:hAnsi="Arial" w:cs="Arial"/>
              </w:rPr>
              <w:t xml:space="preserve">Veronica V. </w:t>
            </w:r>
            <w:proofErr w:type="spellStart"/>
            <w:r w:rsidRPr="00384880">
              <w:rPr>
                <w:rFonts w:ascii="Arial" w:hAnsi="Arial" w:cs="Arial"/>
              </w:rPr>
              <w:t>Stidvent</w:t>
            </w:r>
            <w:proofErr w:type="spellEnd"/>
            <w:r w:rsidRPr="00384880">
              <w:rPr>
                <w:rFonts w:ascii="Arial" w:hAnsi="Arial" w:cs="Arial"/>
              </w:rPr>
              <w:t xml:space="preserve"> (2003 to 2004): Special Assistant to the President for Policy, The White House; Policy Advisor, Office of Information and Regulatory Affairs, Office of Management and Budget</w:t>
            </w:r>
          </w:p>
        </w:tc>
      </w:tr>
    </w:tbl>
    <w:p w14:paraId="4D2876E4" w14:textId="77777777" w:rsidR="002F0407" w:rsidRDefault="002F0407">
      <w:pPr>
        <w:pStyle w:val="Body"/>
        <w:widowControl w:val="0"/>
        <w:ind w:left="108" w:hanging="108"/>
      </w:pPr>
    </w:p>
    <w:sectPr w:rsidR="002F0407">
      <w:footerReference w:type="default" r:id="rId8"/>
      <w:pgSz w:w="12240" w:h="15840"/>
      <w:pgMar w:top="576" w:right="1368" w:bottom="2448" w:left="1296"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B612" w14:textId="77777777" w:rsidR="00BB2781" w:rsidRDefault="00BB2781">
      <w:r>
        <w:separator/>
      </w:r>
    </w:p>
  </w:endnote>
  <w:endnote w:type="continuationSeparator" w:id="0">
    <w:p w14:paraId="1AC958EB" w14:textId="77777777" w:rsidR="00BB2781" w:rsidRDefault="00BB2781">
      <w:r>
        <w:continuationSeparator/>
      </w:r>
    </w:p>
  </w:endnote>
  <w:endnote w:id="1">
    <w:p w14:paraId="4997040F" w14:textId="6D7ED2B9" w:rsidR="00384880" w:rsidRDefault="00384880">
      <w:pPr>
        <w:pStyle w:val="EndnoteText"/>
      </w:pPr>
      <w:r>
        <w:rPr>
          <w:rStyle w:val="EndnoteReference"/>
        </w:rPr>
        <w:endnoteRef/>
      </w:r>
      <w:r>
        <w:t xml:space="preserve"> </w:t>
      </w:r>
      <w:r w:rsidR="00104422">
        <w:t>The Consolidated Appropriations Act, 2017 (Public Law 115-31, May 5, 2017), contains a provision that continues the freeze on the payable pay rates for certain senior political officials at 2013 levels during calendar year 2017.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dWeb-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8E24" w14:textId="77777777" w:rsidR="002F0407" w:rsidRDefault="00F06A35">
    <w:pPr>
      <w:pStyle w:val="TGAppendixBodyHeaders"/>
      <w:pBdr>
        <w:top w:val="single" w:sz="2" w:space="0" w:color="000000"/>
      </w:pBdr>
      <w:spacing w:line="276" w:lineRule="auto"/>
      <w:ind w:left="40"/>
      <w:rPr>
        <w:rFonts w:ascii="Arial" w:hAnsi="Arial"/>
      </w:rPr>
    </w:pPr>
    <w:r>
      <w:rPr>
        <w:rFonts w:ascii="Arial" w:hAnsi="Arial"/>
        <w:noProof/>
      </w:rPr>
      <w:drawing>
        <wp:inline distT="0" distB="0" distL="0" distR="0" wp14:anchorId="094306C1" wp14:editId="6B66C9EA">
          <wp:extent cx="3049693" cy="3464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049693" cy="346405"/>
                  </a:xfrm>
                  <a:prstGeom prst="rect">
                    <a:avLst/>
                  </a:prstGeom>
                  <a:ln w="12700" cap="flat">
                    <a:noFill/>
                    <a:miter lim="400000"/>
                  </a:ln>
                  <a:effectLst/>
                </pic:spPr>
              </pic:pic>
            </a:graphicData>
          </a:graphic>
        </wp:inline>
      </w:drawing>
    </w:r>
  </w:p>
  <w:p w14:paraId="07A8D6A5" w14:textId="77777777" w:rsidR="002F0407" w:rsidRDefault="002F0407">
    <w:pPr>
      <w:pStyle w:val="TGAppendixBodyHeaders"/>
      <w:ind w:left="40"/>
      <w:rPr>
        <w:rFonts w:ascii="Arial" w:hAnsi="Arial"/>
      </w:rPr>
    </w:pPr>
  </w:p>
  <w:p w14:paraId="733F2A11" w14:textId="77777777" w:rsidR="002F0407" w:rsidRDefault="00F06A35">
    <w:pPr>
      <w:pStyle w:val="TGAppendixBodyHeaders"/>
      <w:ind w:left="40"/>
      <w:rPr>
        <w:rFonts w:ascii="Arial" w:eastAsia="Arial" w:hAnsi="Arial" w:cs="Arial"/>
      </w:rPr>
    </w:pPr>
    <w:r>
      <w:rPr>
        <w:rFonts w:ascii="Arial" w:hAnsi="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593DBBDF" w14:textId="77777777" w:rsidR="002F0407" w:rsidRDefault="002F0407">
    <w:pPr>
      <w:pStyle w:val="TGAppendixBodyHeaders"/>
      <w:ind w:left="40"/>
      <w:rPr>
        <w:rFonts w:ascii="Arial" w:eastAsia="Arial" w:hAnsi="Arial" w:cs="Arial"/>
      </w:rPr>
    </w:pPr>
  </w:p>
  <w:p w14:paraId="305D30DB" w14:textId="77777777" w:rsidR="002F0407" w:rsidRDefault="00F06A35">
    <w:pPr>
      <w:pStyle w:val="TGAppendixBodyHeaders"/>
      <w:ind w:left="40"/>
    </w:pPr>
    <w:r>
      <w:rPr>
        <w:rFonts w:ascii="Arial" w:hAnsi="Arial"/>
        <w:b/>
        <w:bCs/>
      </w:rPr>
      <w:t>For original transition documents and additional resources, templates and tools, visit presidentialtransition.org.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8971" w14:textId="77777777" w:rsidR="00BB2781" w:rsidRDefault="00BB2781">
      <w:r>
        <w:separator/>
      </w:r>
    </w:p>
  </w:footnote>
  <w:footnote w:type="continuationSeparator" w:id="0">
    <w:p w14:paraId="44FCD0EB" w14:textId="77777777" w:rsidR="00BB2781" w:rsidRDefault="00BB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E0A"/>
    <w:multiLevelType w:val="hybridMultilevel"/>
    <w:tmpl w:val="D2885DEA"/>
    <w:lvl w:ilvl="0" w:tplc="6068CD06">
      <w:start w:val="1"/>
      <w:numFmt w:val="bullet"/>
      <w:lvlText w:val="•"/>
      <w:lvlJc w:val="left"/>
      <w:pPr>
        <w:tabs>
          <w:tab w:val="left" w:pos="720"/>
        </w:tabs>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1027F0">
      <w:start w:val="1"/>
      <w:numFmt w:val="bullet"/>
      <w:lvlText w:val="•"/>
      <w:lvlJc w:val="left"/>
      <w:pPr>
        <w:tabs>
          <w:tab w:val="left" w:pos="720"/>
        </w:tabs>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7C96F6">
      <w:start w:val="1"/>
      <w:numFmt w:val="bullet"/>
      <w:lvlText w:val="•"/>
      <w:lvlJc w:val="left"/>
      <w:pPr>
        <w:tabs>
          <w:tab w:val="left" w:pos="720"/>
        </w:tabs>
        <w:ind w:left="1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8622BA">
      <w:start w:val="1"/>
      <w:numFmt w:val="bullet"/>
      <w:lvlText w:val="•"/>
      <w:lvlJc w:val="left"/>
      <w:pPr>
        <w:tabs>
          <w:tab w:val="left" w:pos="720"/>
        </w:tabs>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EFF9A">
      <w:start w:val="1"/>
      <w:numFmt w:val="bullet"/>
      <w:lvlText w:val="•"/>
      <w:lvlJc w:val="left"/>
      <w:pPr>
        <w:tabs>
          <w:tab w:val="left" w:pos="720"/>
        </w:tabs>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54DE88">
      <w:start w:val="1"/>
      <w:numFmt w:val="bullet"/>
      <w:lvlText w:val="•"/>
      <w:lvlJc w:val="left"/>
      <w:pPr>
        <w:tabs>
          <w:tab w:val="left" w:pos="720"/>
        </w:tabs>
        <w:ind w:left="4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ECA3C6">
      <w:start w:val="1"/>
      <w:numFmt w:val="bullet"/>
      <w:lvlText w:val="•"/>
      <w:lvlJc w:val="left"/>
      <w:pPr>
        <w:tabs>
          <w:tab w:val="left" w:pos="720"/>
        </w:tabs>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8825C">
      <w:start w:val="1"/>
      <w:numFmt w:val="bullet"/>
      <w:lvlText w:val="•"/>
      <w:lvlJc w:val="left"/>
      <w:pPr>
        <w:tabs>
          <w:tab w:val="left" w:pos="720"/>
        </w:tabs>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02587A">
      <w:start w:val="1"/>
      <w:numFmt w:val="bullet"/>
      <w:lvlText w:val="•"/>
      <w:lvlJc w:val="left"/>
      <w:pPr>
        <w:tabs>
          <w:tab w:val="left" w:pos="720"/>
        </w:tabs>
        <w:ind w:left="61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E1EA2"/>
    <w:multiLevelType w:val="hybridMultilevel"/>
    <w:tmpl w:val="AD066644"/>
    <w:lvl w:ilvl="0" w:tplc="A9A0E81A">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0E7DFE">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4425D0">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462648">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36CE22">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7ED410">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4C412">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AE754">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EA289A">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422590"/>
    <w:multiLevelType w:val="hybridMultilevel"/>
    <w:tmpl w:val="7486D164"/>
    <w:lvl w:ilvl="0" w:tplc="04090001">
      <w:start w:val="1"/>
      <w:numFmt w:val="bullet"/>
      <w:lvlText w:val=""/>
      <w:lvlJc w:val="left"/>
      <w:pPr>
        <w:tabs>
          <w:tab w:val="left" w:pos="720"/>
        </w:tabs>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F1027F0">
      <w:start w:val="1"/>
      <w:numFmt w:val="bullet"/>
      <w:lvlText w:val="•"/>
      <w:lvlJc w:val="left"/>
      <w:pPr>
        <w:tabs>
          <w:tab w:val="left" w:pos="720"/>
        </w:tabs>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7C96F6">
      <w:start w:val="1"/>
      <w:numFmt w:val="bullet"/>
      <w:lvlText w:val="•"/>
      <w:lvlJc w:val="left"/>
      <w:pPr>
        <w:tabs>
          <w:tab w:val="left" w:pos="720"/>
        </w:tabs>
        <w:ind w:left="1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8622BA">
      <w:start w:val="1"/>
      <w:numFmt w:val="bullet"/>
      <w:lvlText w:val="•"/>
      <w:lvlJc w:val="left"/>
      <w:pPr>
        <w:tabs>
          <w:tab w:val="left" w:pos="720"/>
        </w:tabs>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EFF9A">
      <w:start w:val="1"/>
      <w:numFmt w:val="bullet"/>
      <w:lvlText w:val="•"/>
      <w:lvlJc w:val="left"/>
      <w:pPr>
        <w:tabs>
          <w:tab w:val="left" w:pos="720"/>
        </w:tabs>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54DE88">
      <w:start w:val="1"/>
      <w:numFmt w:val="bullet"/>
      <w:lvlText w:val="•"/>
      <w:lvlJc w:val="left"/>
      <w:pPr>
        <w:tabs>
          <w:tab w:val="left" w:pos="720"/>
        </w:tabs>
        <w:ind w:left="4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ECA3C6">
      <w:start w:val="1"/>
      <w:numFmt w:val="bullet"/>
      <w:lvlText w:val="•"/>
      <w:lvlJc w:val="left"/>
      <w:pPr>
        <w:tabs>
          <w:tab w:val="left" w:pos="720"/>
        </w:tabs>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8825C">
      <w:start w:val="1"/>
      <w:numFmt w:val="bullet"/>
      <w:lvlText w:val="•"/>
      <w:lvlJc w:val="left"/>
      <w:pPr>
        <w:tabs>
          <w:tab w:val="left" w:pos="720"/>
        </w:tabs>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02587A">
      <w:start w:val="1"/>
      <w:numFmt w:val="bullet"/>
      <w:lvlText w:val="•"/>
      <w:lvlJc w:val="left"/>
      <w:pPr>
        <w:tabs>
          <w:tab w:val="left" w:pos="720"/>
        </w:tabs>
        <w:ind w:left="61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D07479"/>
    <w:multiLevelType w:val="hybridMultilevel"/>
    <w:tmpl w:val="147AD370"/>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3DC5314">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DE64E4">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05B7C">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E7CF2">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B4DD08">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9E272C">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540192">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C6251C">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E4D70"/>
    <w:multiLevelType w:val="hybridMultilevel"/>
    <w:tmpl w:val="0AC206DC"/>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A0E7DFE">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4425D0">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462648">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36CE22">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7ED410">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4C412">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AE754">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EA289A">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6808F5"/>
    <w:multiLevelType w:val="hybridMultilevel"/>
    <w:tmpl w:val="A9E8DCA2"/>
    <w:lvl w:ilvl="0" w:tplc="B31838A2">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DC5314">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DE64E4">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05B7C">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E7CF2">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B4DD08">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9E272C">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540192">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C6251C">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07"/>
    <w:rsid w:val="000102DA"/>
    <w:rsid w:val="00037867"/>
    <w:rsid w:val="00104422"/>
    <w:rsid w:val="002F0407"/>
    <w:rsid w:val="00384880"/>
    <w:rsid w:val="005D5C6C"/>
    <w:rsid w:val="005F0A1D"/>
    <w:rsid w:val="006E0B3D"/>
    <w:rsid w:val="00A87853"/>
    <w:rsid w:val="00AA6237"/>
    <w:rsid w:val="00AD331E"/>
    <w:rsid w:val="00BB2781"/>
    <w:rsid w:val="00BD7787"/>
    <w:rsid w:val="00C53060"/>
    <w:rsid w:val="00D01FA6"/>
    <w:rsid w:val="00D3521A"/>
    <w:rsid w:val="00D83BA7"/>
    <w:rsid w:val="00ED24B7"/>
    <w:rsid w:val="00F0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2EDD"/>
  <w15:docId w15:val="{A230D7E0-96C7-440D-A937-54455772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GAppendixBodyHeaders">
    <w:name w:val="TG_Appendix Body (Headers)"/>
    <w:pPr>
      <w:widowControl w:val="0"/>
      <w:tabs>
        <w:tab w:val="left" w:pos="720"/>
      </w:tabs>
      <w:suppressAutoHyphens/>
      <w:spacing w:line="180" w:lineRule="atLeast"/>
    </w:pPr>
    <w:rPr>
      <w:rFonts w:ascii="GothamNarrow-Book" w:eastAsia="GothamNarrow-Book" w:hAnsi="GothamNarrow-Book" w:cs="GothamNarrow-Book"/>
      <w:color w:val="000000"/>
      <w:sz w:val="16"/>
      <w:szCs w:val="16"/>
      <w:u w:color="000000"/>
    </w:rPr>
  </w:style>
  <w:style w:type="paragraph" w:customStyle="1" w:styleId="Heading">
    <w:name w:val="Heading"/>
    <w:next w:val="Body"/>
    <w:pPr>
      <w:keepNext/>
      <w:keepLines/>
      <w:pBdr>
        <w:bottom w:val="single" w:sz="4" w:space="0" w:color="003055"/>
      </w:pBdr>
      <w:tabs>
        <w:tab w:val="left" w:pos="4016"/>
      </w:tabs>
      <w:spacing w:before="480" w:after="120"/>
      <w:outlineLvl w:val="0"/>
    </w:pPr>
    <w:rPr>
      <w:rFonts w:ascii="Arial" w:hAnsi="Arial" w:cs="Arial Unicode MS"/>
      <w:b/>
      <w:bCs/>
      <w:caps/>
      <w:color w:val="000000"/>
      <w:sz w:val="26"/>
      <w:szCs w:val="26"/>
      <w:u w:color="000000"/>
    </w:rPr>
  </w:style>
  <w:style w:type="paragraph" w:customStyle="1" w:styleId="Body">
    <w:name w:val="Body"/>
    <w:rPr>
      <w:rFonts w:cs="Arial Unicode MS"/>
      <w:color w:val="000000"/>
      <w:sz w:val="22"/>
      <w:szCs w:val="22"/>
      <w:u w:color="000000"/>
    </w:rPr>
  </w:style>
  <w:style w:type="paragraph" w:styleId="ListParagraph">
    <w:name w:val="List Paragraph"/>
    <w:rPr>
      <w:rFonts w:cs="Arial Unicode MS"/>
      <w:color w:val="000000"/>
      <w:sz w:val="22"/>
      <w:szCs w:val="22"/>
      <w:u w:color="000000"/>
    </w:rPr>
  </w:style>
  <w:style w:type="character" w:styleId="CommentReference">
    <w:name w:val="annotation reference"/>
    <w:basedOn w:val="DefaultParagraphFont"/>
    <w:uiPriority w:val="99"/>
    <w:semiHidden/>
    <w:unhideWhenUsed/>
    <w:rsid w:val="00C53060"/>
    <w:rPr>
      <w:sz w:val="16"/>
      <w:szCs w:val="16"/>
    </w:rPr>
  </w:style>
  <w:style w:type="paragraph" w:styleId="CommentText">
    <w:name w:val="annotation text"/>
    <w:basedOn w:val="Normal"/>
    <w:link w:val="CommentTextChar"/>
    <w:uiPriority w:val="99"/>
    <w:semiHidden/>
    <w:unhideWhenUsed/>
    <w:rsid w:val="00C53060"/>
    <w:rPr>
      <w:sz w:val="20"/>
      <w:szCs w:val="20"/>
    </w:rPr>
  </w:style>
  <w:style w:type="character" w:customStyle="1" w:styleId="CommentTextChar">
    <w:name w:val="Comment Text Char"/>
    <w:basedOn w:val="DefaultParagraphFont"/>
    <w:link w:val="CommentText"/>
    <w:uiPriority w:val="99"/>
    <w:semiHidden/>
    <w:rsid w:val="00C53060"/>
  </w:style>
  <w:style w:type="paragraph" w:styleId="CommentSubject">
    <w:name w:val="annotation subject"/>
    <w:basedOn w:val="CommentText"/>
    <w:next w:val="CommentText"/>
    <w:link w:val="CommentSubjectChar"/>
    <w:uiPriority w:val="99"/>
    <w:semiHidden/>
    <w:unhideWhenUsed/>
    <w:rsid w:val="00C53060"/>
    <w:rPr>
      <w:b/>
      <w:bCs/>
    </w:rPr>
  </w:style>
  <w:style w:type="character" w:customStyle="1" w:styleId="CommentSubjectChar">
    <w:name w:val="Comment Subject Char"/>
    <w:basedOn w:val="CommentTextChar"/>
    <w:link w:val="CommentSubject"/>
    <w:uiPriority w:val="99"/>
    <w:semiHidden/>
    <w:rsid w:val="00C53060"/>
    <w:rPr>
      <w:b/>
      <w:bCs/>
    </w:rPr>
  </w:style>
  <w:style w:type="paragraph" w:styleId="BalloonText">
    <w:name w:val="Balloon Text"/>
    <w:basedOn w:val="Normal"/>
    <w:link w:val="BalloonTextChar"/>
    <w:uiPriority w:val="99"/>
    <w:semiHidden/>
    <w:unhideWhenUsed/>
    <w:rsid w:val="00C53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60"/>
    <w:rPr>
      <w:rFonts w:ascii="Segoe UI" w:hAnsi="Segoe UI" w:cs="Segoe UI"/>
      <w:sz w:val="18"/>
      <w:szCs w:val="18"/>
    </w:rPr>
  </w:style>
  <w:style w:type="character" w:customStyle="1" w:styleId="entry1">
    <w:name w:val="entry1"/>
    <w:basedOn w:val="DefaultParagraphFont"/>
    <w:rsid w:val="00C53060"/>
    <w:rPr>
      <w:rFonts w:ascii="GoodWeb-Bold" w:hAnsi="GoodWeb-Bold" w:hint="default"/>
      <w:color w:val="333333"/>
      <w:sz w:val="36"/>
      <w:szCs w:val="36"/>
    </w:rPr>
  </w:style>
  <w:style w:type="character" w:customStyle="1" w:styleId="example1">
    <w:name w:val="example1"/>
    <w:basedOn w:val="DefaultParagraphFont"/>
    <w:rsid w:val="00C53060"/>
    <w:rPr>
      <w:b w:val="0"/>
      <w:bCs w:val="0"/>
      <w:i/>
      <w:iCs/>
      <w:color w:val="000000"/>
      <w:sz w:val="24"/>
      <w:szCs w:val="24"/>
    </w:rPr>
  </w:style>
  <w:style w:type="paragraph" w:styleId="EndnoteText">
    <w:name w:val="endnote text"/>
    <w:basedOn w:val="Normal"/>
    <w:link w:val="EndnoteTextChar"/>
    <w:uiPriority w:val="99"/>
    <w:semiHidden/>
    <w:unhideWhenUsed/>
    <w:rsid w:val="00384880"/>
    <w:rPr>
      <w:sz w:val="20"/>
      <w:szCs w:val="20"/>
    </w:rPr>
  </w:style>
  <w:style w:type="character" w:customStyle="1" w:styleId="EndnoteTextChar">
    <w:name w:val="Endnote Text Char"/>
    <w:basedOn w:val="DefaultParagraphFont"/>
    <w:link w:val="EndnoteText"/>
    <w:uiPriority w:val="99"/>
    <w:semiHidden/>
    <w:rsid w:val="00384880"/>
  </w:style>
  <w:style w:type="character" w:styleId="EndnoteReference">
    <w:name w:val="endnote reference"/>
    <w:basedOn w:val="DefaultParagraphFont"/>
    <w:uiPriority w:val="99"/>
    <w:semiHidden/>
    <w:unhideWhenUsed/>
    <w:rsid w:val="00384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Partnership">
      <a:dk1>
        <a:srgbClr val="000000"/>
      </a:dk1>
      <a:lt1>
        <a:srgbClr val="FFFFFF"/>
      </a:lt1>
      <a:dk2>
        <a:srgbClr val="A7A7A7"/>
      </a:dk2>
      <a:lt2>
        <a:srgbClr val="535353"/>
      </a:lt2>
      <a:accent1>
        <a:srgbClr val="005789"/>
      </a:accent1>
      <a:accent2>
        <a:srgbClr val="E6B222"/>
      </a:accent2>
      <a:accent3>
        <a:srgbClr val="598527"/>
      </a:accent3>
      <a:accent4>
        <a:srgbClr val="CA6C2C"/>
      </a:accent4>
      <a:accent5>
        <a:srgbClr val="6292AE"/>
      </a:accent5>
      <a:accent6>
        <a:srgbClr val="E8CD60"/>
      </a:accent6>
      <a:hlink>
        <a:srgbClr val="0000FF"/>
      </a:hlink>
      <a:folHlink>
        <a:srgbClr val="FF00FF"/>
      </a:folHlink>
    </a:clrScheme>
    <a:fontScheme name="Partnership">
      <a:majorFont>
        <a:latin typeface="Helvetica"/>
        <a:ea typeface="Helvetica"/>
        <a:cs typeface="Helvetica"/>
      </a:majorFont>
      <a:minorFont>
        <a:latin typeface="Helvetica"/>
        <a:ea typeface="Helvetica"/>
        <a:cs typeface="Helvetica"/>
      </a:minorFont>
    </a:fontScheme>
    <a:fmtScheme name="Partnershi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158A-8EDB-430A-AC7D-0AD4B10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Pietrantoni</dc:creator>
  <cp:lastModifiedBy>Casey Dennison</cp:lastModifiedBy>
  <cp:revision>4</cp:revision>
  <dcterms:created xsi:type="dcterms:W3CDTF">2017-02-23T19:13:00Z</dcterms:created>
  <dcterms:modified xsi:type="dcterms:W3CDTF">2017-08-23T19:36:00Z</dcterms:modified>
</cp:coreProperties>
</file>