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6B" w:rsidRDefault="00A94B52">
      <w:pPr>
        <w:pStyle w:val="Heading"/>
        <w:spacing w:after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POSITION DESCRIPTION</w:t>
      </w:r>
    </w:p>
    <w:p w:rsidR="0065726B" w:rsidRDefault="00A94B52">
      <w:pPr>
        <w:pStyle w:val="Heading"/>
        <w:spacing w:before="120"/>
      </w:pPr>
      <w:r>
        <w:t>Assistant Secretary for mine safety and health, Department of labor</w:t>
      </w:r>
    </w:p>
    <w:p w:rsidR="0065726B" w:rsidRDefault="0065726B">
      <w:pPr>
        <w:pStyle w:val="Body"/>
        <w:rPr>
          <w:rFonts w:ascii="Arial" w:eastAsia="Arial" w:hAnsi="Arial" w:cs="Arial"/>
        </w:rPr>
      </w:pPr>
    </w:p>
    <w:tbl>
      <w:tblPr>
        <w:tblW w:w="94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FD9"/>
        <w:tblLayout w:type="fixed"/>
        <w:tblLook w:val="04A0" w:firstRow="1" w:lastRow="0" w:firstColumn="1" w:lastColumn="0" w:noHBand="0" w:noVBand="1"/>
      </w:tblPr>
      <w:tblGrid>
        <w:gridCol w:w="2671"/>
        <w:gridCol w:w="6791"/>
      </w:tblGrid>
      <w:tr w:rsidR="00A94B52" w:rsidRPr="00D12864">
        <w:trPr>
          <w:trHeight w:val="238"/>
        </w:trPr>
        <w:tc>
          <w:tcPr>
            <w:tcW w:w="9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05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26B" w:rsidRPr="00D12864" w:rsidRDefault="00A94B52">
            <w:pPr>
              <w:pStyle w:val="Body"/>
              <w:jc w:val="center"/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b/>
                <w:bCs/>
                <w:color w:val="auto"/>
                <w:u w:color="FFFFFF"/>
              </w:rPr>
              <w:t>OVERVIEW</w:t>
            </w:r>
          </w:p>
        </w:tc>
      </w:tr>
      <w:tr w:rsidR="00A94B52" w:rsidRPr="00D12864">
        <w:trPr>
          <w:trHeight w:val="238"/>
        </w:trPr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26B" w:rsidRPr="00D12864" w:rsidRDefault="00A94B52">
            <w:pPr>
              <w:pStyle w:val="Body"/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26B" w:rsidRPr="00D12864" w:rsidRDefault="00A94B52">
            <w:pPr>
              <w:pStyle w:val="Body"/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>Health, Education, Labor and Pensions</w:t>
            </w:r>
          </w:p>
        </w:tc>
      </w:tr>
      <w:tr w:rsidR="00A94B52" w:rsidRPr="00D12864">
        <w:trPr>
          <w:trHeight w:val="958"/>
        </w:trPr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26B" w:rsidRPr="00D12864" w:rsidRDefault="00A94B52">
            <w:pPr>
              <w:pStyle w:val="Body"/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26B" w:rsidRPr="00D12864" w:rsidRDefault="00A94B52" w:rsidP="00EB146E">
            <w:pPr>
              <w:pStyle w:val="Body"/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 xml:space="preserve">To foster and promote the welfare of </w:t>
            </w:r>
            <w:r w:rsidR="00EB146E" w:rsidRPr="00D12864">
              <w:rPr>
                <w:rFonts w:ascii="Arial" w:hAnsi="Arial" w:cs="Arial"/>
                <w:color w:val="auto"/>
              </w:rPr>
              <w:t xml:space="preserve">U.S. </w:t>
            </w:r>
            <w:r w:rsidRPr="00D12864">
              <w:rPr>
                <w:rFonts w:ascii="Arial" w:hAnsi="Arial" w:cs="Arial"/>
                <w:color w:val="auto"/>
              </w:rPr>
              <w:t>job seekers, wage earners and retirees by improving their working conditions, advancing their opportunities for profitable employment and protecting benefits</w:t>
            </w:r>
          </w:p>
        </w:tc>
      </w:tr>
      <w:tr w:rsidR="00A94B52" w:rsidRPr="00D12864">
        <w:trPr>
          <w:trHeight w:val="1198"/>
        </w:trPr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26B" w:rsidRPr="00D12864" w:rsidRDefault="00A94B52">
            <w:pPr>
              <w:pStyle w:val="Body"/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26B" w:rsidRPr="00D12864" w:rsidRDefault="00A94B52" w:rsidP="00EB146E">
            <w:pPr>
              <w:pStyle w:val="Body"/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 xml:space="preserve">The assistant secretary for mine safety and health provides leadership and direction in the planning, development, execution and administration of policies, regulations and programs </w:t>
            </w:r>
            <w:r w:rsidR="00EB146E" w:rsidRPr="00D12864">
              <w:rPr>
                <w:rFonts w:ascii="Arial" w:hAnsi="Arial" w:cs="Arial"/>
                <w:color w:val="auto"/>
              </w:rPr>
              <w:t xml:space="preserve">for the nation’s miners </w:t>
            </w:r>
            <w:r w:rsidRPr="00D12864">
              <w:rPr>
                <w:rFonts w:ascii="Arial" w:hAnsi="Arial" w:cs="Arial"/>
                <w:color w:val="auto"/>
              </w:rPr>
              <w:t>designed to prevent injury</w:t>
            </w:r>
            <w:r w:rsidR="00EB146E" w:rsidRPr="00D12864">
              <w:rPr>
                <w:rFonts w:ascii="Arial" w:hAnsi="Arial" w:cs="Arial"/>
                <w:color w:val="auto"/>
              </w:rPr>
              <w:t>, disease and death from mining</w:t>
            </w:r>
            <w:r w:rsidRPr="00D12864">
              <w:rPr>
                <w:rFonts w:ascii="Arial" w:hAnsi="Arial" w:cs="Arial"/>
                <w:color w:val="auto"/>
              </w:rPr>
              <w:t xml:space="preserve">. </w:t>
            </w:r>
          </w:p>
        </w:tc>
      </w:tr>
      <w:tr w:rsidR="00A94B52" w:rsidRPr="00D12864">
        <w:trPr>
          <w:trHeight w:val="238"/>
        </w:trPr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26B" w:rsidRPr="00D12864" w:rsidRDefault="00A94B52">
            <w:pPr>
              <w:pStyle w:val="Body"/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26B" w:rsidRPr="00D12864" w:rsidRDefault="004061BC" w:rsidP="003C1C9B">
            <w:pPr>
              <w:pStyle w:val="Body"/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>Level IV $</w:t>
            </w:r>
            <w:r w:rsidR="003C1C9B">
              <w:rPr>
                <w:rFonts w:ascii="Arial" w:hAnsi="Arial" w:cs="Arial"/>
                <w:color w:val="auto"/>
              </w:rPr>
              <w:t>155,500</w:t>
            </w:r>
            <w:r w:rsidR="00A94B52" w:rsidRPr="00D12864">
              <w:rPr>
                <w:rFonts w:ascii="Arial" w:hAnsi="Arial" w:cs="Arial"/>
                <w:color w:val="auto"/>
              </w:rPr>
              <w:t xml:space="preserve"> (5 U.S.C. § 5315)</w:t>
            </w:r>
            <w:r w:rsidR="00D12864" w:rsidRPr="00D12864">
              <w:rPr>
                <w:rStyle w:val="EndnoteReference"/>
                <w:rFonts w:ascii="Arial" w:hAnsi="Arial" w:cs="Arial"/>
                <w:color w:val="auto"/>
              </w:rPr>
              <w:endnoteReference w:id="1"/>
            </w:r>
          </w:p>
        </w:tc>
      </w:tr>
      <w:tr w:rsidR="00A94B52" w:rsidRPr="00D12864">
        <w:trPr>
          <w:trHeight w:val="238"/>
        </w:trPr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26B" w:rsidRPr="00D12864" w:rsidRDefault="00A94B52">
            <w:pPr>
              <w:pStyle w:val="Body"/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26B" w:rsidRPr="00D12864" w:rsidRDefault="00A94B52">
            <w:pPr>
              <w:pStyle w:val="Body"/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  <w:u w:color="FF0000"/>
              </w:rPr>
              <w:t>Secretary of Labor</w:t>
            </w:r>
          </w:p>
        </w:tc>
      </w:tr>
      <w:tr w:rsidR="00A94B52" w:rsidRPr="00D12864">
        <w:trPr>
          <w:trHeight w:val="238"/>
        </w:trPr>
        <w:tc>
          <w:tcPr>
            <w:tcW w:w="9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05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26B" w:rsidRPr="00D12864" w:rsidRDefault="00A94B52">
            <w:pPr>
              <w:pStyle w:val="Body"/>
              <w:jc w:val="center"/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b/>
                <w:bCs/>
                <w:color w:val="auto"/>
                <w:u w:color="FFFFFF"/>
              </w:rPr>
              <w:t>RESPONSIBILITIES</w:t>
            </w:r>
          </w:p>
        </w:tc>
      </w:tr>
      <w:tr w:rsidR="00A94B52" w:rsidRPr="00D12864">
        <w:trPr>
          <w:trHeight w:val="478"/>
        </w:trPr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26B" w:rsidRPr="00D12864" w:rsidRDefault="00A94B52">
            <w:pPr>
              <w:pStyle w:val="Body"/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26B" w:rsidRPr="00D12864" w:rsidRDefault="00A94B52">
            <w:pPr>
              <w:pStyle w:val="Body"/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 xml:space="preserve">In fiscal 2016, </w:t>
            </w:r>
            <w:r w:rsidR="00EB146E" w:rsidRPr="00D12864">
              <w:rPr>
                <w:rFonts w:ascii="Arial" w:hAnsi="Arial" w:cs="Arial"/>
                <w:color w:val="auto"/>
              </w:rPr>
              <w:t xml:space="preserve">the </w:t>
            </w:r>
            <w:r w:rsidRPr="00D12864">
              <w:rPr>
                <w:rFonts w:ascii="Arial" w:hAnsi="Arial" w:cs="Arial"/>
                <w:color w:val="auto"/>
              </w:rPr>
              <w:t>Mine Safety and Health Administration had an enacted budget of $375.887 million and 2,250 full-time equivalents.</w:t>
            </w:r>
          </w:p>
        </w:tc>
      </w:tr>
      <w:tr w:rsidR="00A94B52" w:rsidRPr="00D12864" w:rsidTr="00A94B52">
        <w:trPr>
          <w:trHeight w:val="478"/>
        </w:trPr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B52" w:rsidRPr="00D12864" w:rsidRDefault="00A94B52" w:rsidP="003B6EC7">
            <w:pPr>
              <w:pStyle w:val="Body"/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B52" w:rsidRPr="00D12864" w:rsidRDefault="00A94B52" w:rsidP="00A94B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>Administers federal mine safety and health laws to reduce hazardous exposures through enforcing compliance with mandatory safety and health standards</w:t>
            </w:r>
          </w:p>
          <w:p w:rsidR="00A94B52" w:rsidRPr="00D12864" w:rsidRDefault="00A94B52" w:rsidP="00A94B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>Promotes effective training and encourages adoption of new technologies and improved work processes</w:t>
            </w:r>
          </w:p>
          <w:p w:rsidR="00A94B52" w:rsidRPr="00D12864" w:rsidRDefault="00A94B52" w:rsidP="00A94B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>Engages with stakeholders in order to promote improved safety and health conditions</w:t>
            </w:r>
          </w:p>
          <w:p w:rsidR="00A94B52" w:rsidRPr="00D12864" w:rsidRDefault="00A94B52" w:rsidP="00A94B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>Oversees the investigation of mine accidents and required inspection of all underground mines four times a year</w:t>
            </w:r>
            <w:r w:rsidR="00EB146E" w:rsidRPr="00D12864">
              <w:rPr>
                <w:rFonts w:ascii="Arial" w:hAnsi="Arial" w:cs="Arial"/>
                <w:color w:val="auto"/>
              </w:rPr>
              <w:t>,</w:t>
            </w:r>
            <w:r w:rsidRPr="00D12864">
              <w:rPr>
                <w:rFonts w:ascii="Arial" w:hAnsi="Arial" w:cs="Arial"/>
                <w:color w:val="auto"/>
              </w:rPr>
              <w:t xml:space="preserve"> and all surface mines twice a year</w:t>
            </w:r>
            <w:r w:rsidR="00EB146E" w:rsidRPr="00D12864">
              <w:rPr>
                <w:rFonts w:ascii="Arial" w:hAnsi="Arial" w:cs="Arial"/>
                <w:color w:val="auto"/>
              </w:rPr>
              <w:t>,</w:t>
            </w:r>
            <w:r w:rsidRPr="00D12864">
              <w:rPr>
                <w:rFonts w:ascii="Arial" w:hAnsi="Arial" w:cs="Arial"/>
                <w:color w:val="auto"/>
              </w:rPr>
              <w:t xml:space="preserve"> to determine compliance with health and safety standards or whether an imminent danger exists</w:t>
            </w:r>
          </w:p>
          <w:p w:rsidR="00A94B52" w:rsidRPr="00D12864" w:rsidRDefault="00A94B52" w:rsidP="00A94B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>Represents the secretary of labor, deputy secretary of labor and the Mine Safety and Health Administration in meeting</w:t>
            </w:r>
            <w:r w:rsidR="00EB146E" w:rsidRPr="00D12864">
              <w:rPr>
                <w:rFonts w:ascii="Arial" w:hAnsi="Arial" w:cs="Arial"/>
                <w:color w:val="auto"/>
              </w:rPr>
              <w:t xml:space="preserve">s with ranking officials of </w:t>
            </w:r>
            <w:r w:rsidRPr="00D12864">
              <w:rPr>
                <w:rFonts w:ascii="Arial" w:hAnsi="Arial" w:cs="Arial"/>
                <w:color w:val="auto"/>
              </w:rPr>
              <w:t>Congress, other federal agencies, states, industry and labor</w:t>
            </w:r>
          </w:p>
          <w:p w:rsidR="00A94B52" w:rsidRPr="00D12864" w:rsidRDefault="00A94B52" w:rsidP="00A94B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>As necessary, represents the secretary and deputy secretary to provide an on-site presence during a major mine emergency operation event and provides on-site rescue and recovery advice and guidance</w:t>
            </w:r>
          </w:p>
        </w:tc>
      </w:tr>
      <w:tr w:rsidR="00A94B52" w:rsidRPr="00D12864" w:rsidTr="00A94B52">
        <w:trPr>
          <w:trHeight w:val="478"/>
        </w:trPr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B52" w:rsidRPr="00D12864" w:rsidRDefault="00A94B52" w:rsidP="003B6EC7">
            <w:pPr>
              <w:pStyle w:val="Body"/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B52" w:rsidRPr="00D12864" w:rsidRDefault="00A94B52" w:rsidP="00A94B52">
            <w:pPr>
              <w:pStyle w:val="Body"/>
              <w:rPr>
                <w:rFonts w:ascii="Arial" w:hAnsi="Arial" w:cs="Arial"/>
                <w:color w:val="auto"/>
              </w:rPr>
            </w:pPr>
          </w:p>
          <w:p w:rsidR="00A94B52" w:rsidRPr="00D12864" w:rsidRDefault="00A94B52" w:rsidP="00A94B52">
            <w:pPr>
              <w:pStyle w:val="Body"/>
              <w:rPr>
                <w:rFonts w:ascii="Arial" w:hAnsi="Arial" w:cs="Arial"/>
                <w:color w:val="auto"/>
              </w:rPr>
            </w:pPr>
          </w:p>
          <w:p w:rsidR="00A94B52" w:rsidRPr="00D12864" w:rsidRDefault="00A94B52" w:rsidP="00A94B52">
            <w:pPr>
              <w:pStyle w:val="Body"/>
              <w:jc w:val="center"/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>[Depends on the policy priorities of the administration]</w:t>
            </w:r>
          </w:p>
          <w:p w:rsidR="00A94B52" w:rsidRPr="00D12864" w:rsidRDefault="00A94B52" w:rsidP="00A94B52">
            <w:pPr>
              <w:pStyle w:val="Body"/>
              <w:rPr>
                <w:rFonts w:ascii="Arial" w:hAnsi="Arial" w:cs="Arial"/>
                <w:color w:val="auto"/>
              </w:rPr>
            </w:pPr>
          </w:p>
          <w:p w:rsidR="00A94B52" w:rsidRPr="00D12864" w:rsidRDefault="00A94B52" w:rsidP="00A94B52">
            <w:pPr>
              <w:pStyle w:val="Body"/>
              <w:rPr>
                <w:rFonts w:ascii="Arial" w:hAnsi="Arial" w:cs="Arial"/>
                <w:color w:val="auto"/>
              </w:rPr>
            </w:pPr>
          </w:p>
        </w:tc>
      </w:tr>
      <w:tr w:rsidR="00A94B52" w:rsidRPr="00D12864" w:rsidTr="003B6EC7">
        <w:trPr>
          <w:trHeight w:val="238"/>
        </w:trPr>
        <w:tc>
          <w:tcPr>
            <w:tcW w:w="9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05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B52" w:rsidRPr="00D12864" w:rsidRDefault="00A94B52" w:rsidP="003B6EC7">
            <w:pPr>
              <w:pStyle w:val="Body"/>
              <w:jc w:val="center"/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b/>
                <w:bCs/>
                <w:color w:val="auto"/>
                <w:u w:color="FFFFFF"/>
              </w:rPr>
              <w:t>REQUIREMENTS AND COMPETENCIES</w:t>
            </w:r>
          </w:p>
        </w:tc>
      </w:tr>
      <w:tr w:rsidR="00A94B52" w:rsidRPr="00D12864" w:rsidTr="003B6EC7">
        <w:trPr>
          <w:trHeight w:val="958"/>
        </w:trPr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B52" w:rsidRPr="00D12864" w:rsidRDefault="00A94B52" w:rsidP="003B6EC7">
            <w:pPr>
              <w:pStyle w:val="Body"/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B52" w:rsidRPr="00D12864" w:rsidRDefault="00A94B52" w:rsidP="00A94B5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>Experience or demonstrated ability supporting and managing a staff of investigators</w:t>
            </w:r>
          </w:p>
          <w:p w:rsidR="00A94B52" w:rsidRPr="00D12864" w:rsidRDefault="00A94B52" w:rsidP="00A94B5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>Experience with government enforcement at the local, state or federal level</w:t>
            </w:r>
          </w:p>
        </w:tc>
      </w:tr>
      <w:tr w:rsidR="00A94B52" w:rsidRPr="00D12864" w:rsidTr="00A94B52">
        <w:trPr>
          <w:trHeight w:val="698"/>
        </w:trPr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B52" w:rsidRPr="00D12864" w:rsidRDefault="00A94B52" w:rsidP="003B6EC7">
            <w:pPr>
              <w:pStyle w:val="Body"/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B52" w:rsidRPr="00D12864" w:rsidRDefault="00A94B52" w:rsidP="00A94B52">
            <w:pPr>
              <w:pStyle w:val="Body"/>
              <w:numPr>
                <w:ilvl w:val="0"/>
                <w:numId w:val="5"/>
              </w:numPr>
              <w:ind w:left="432"/>
              <w:rPr>
                <w:rFonts w:ascii="Arial" w:eastAsia="Arial" w:hAnsi="Arial" w:cs="Arial"/>
                <w:color w:val="auto"/>
                <w:u w:color="0070C0"/>
              </w:rPr>
            </w:pPr>
            <w:r w:rsidRPr="00D12864">
              <w:rPr>
                <w:rFonts w:ascii="Arial" w:hAnsi="Arial" w:cs="Arial"/>
                <w:color w:val="auto"/>
                <w:u w:color="0070C0"/>
              </w:rPr>
              <w:t>Strong communication and interpersonal skills</w:t>
            </w:r>
          </w:p>
          <w:p w:rsidR="00A94B52" w:rsidRPr="00D12864" w:rsidRDefault="00A94B52" w:rsidP="00A94B52">
            <w:pPr>
              <w:pStyle w:val="Body"/>
              <w:numPr>
                <w:ilvl w:val="0"/>
                <w:numId w:val="5"/>
              </w:numPr>
              <w:ind w:left="432"/>
              <w:rPr>
                <w:rFonts w:ascii="Arial" w:eastAsia="Arial" w:hAnsi="Arial" w:cs="Arial"/>
                <w:color w:val="auto"/>
                <w:u w:color="0070C0"/>
              </w:rPr>
            </w:pPr>
            <w:r w:rsidRPr="00D12864">
              <w:rPr>
                <w:rFonts w:ascii="Arial" w:hAnsi="Arial" w:cs="Arial"/>
                <w:color w:val="auto"/>
                <w:u w:color="0070C0"/>
              </w:rPr>
              <w:t>Excellent leadership skills</w:t>
            </w:r>
          </w:p>
          <w:p w:rsidR="00A94B52" w:rsidRPr="00D12864" w:rsidRDefault="00A94B52" w:rsidP="00A94B52">
            <w:pPr>
              <w:pStyle w:val="Body"/>
              <w:numPr>
                <w:ilvl w:val="0"/>
                <w:numId w:val="5"/>
              </w:numPr>
              <w:ind w:left="432"/>
              <w:rPr>
                <w:rFonts w:ascii="Arial" w:eastAsia="Arial" w:hAnsi="Arial" w:cs="Arial"/>
                <w:color w:val="auto"/>
                <w:u w:color="0070C0"/>
              </w:rPr>
            </w:pPr>
            <w:r w:rsidRPr="00D12864">
              <w:rPr>
                <w:rFonts w:ascii="Arial" w:hAnsi="Arial" w:cs="Arial"/>
                <w:color w:val="auto"/>
                <w:u w:color="0070C0"/>
              </w:rPr>
              <w:t xml:space="preserve">Ability to work under high pressure </w:t>
            </w:r>
          </w:p>
        </w:tc>
      </w:tr>
      <w:tr w:rsidR="00A94B52" w:rsidRPr="00D12864" w:rsidTr="003B6EC7">
        <w:trPr>
          <w:trHeight w:val="238"/>
        </w:trPr>
        <w:tc>
          <w:tcPr>
            <w:tcW w:w="9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05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B52" w:rsidRPr="00D12864" w:rsidRDefault="00A94B52" w:rsidP="003B6EC7">
            <w:pPr>
              <w:pStyle w:val="Body"/>
              <w:jc w:val="center"/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b/>
                <w:bCs/>
                <w:color w:val="auto"/>
                <w:u w:color="FFFFFF"/>
              </w:rPr>
              <w:t>PAST APPOINTEES</w:t>
            </w:r>
          </w:p>
        </w:tc>
      </w:tr>
      <w:tr w:rsidR="00A94B52" w:rsidRPr="00D12864" w:rsidTr="003B6EC7">
        <w:trPr>
          <w:trHeight w:val="718"/>
        </w:trPr>
        <w:tc>
          <w:tcPr>
            <w:tcW w:w="9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B52" w:rsidRPr="00D12864" w:rsidRDefault="004061BC" w:rsidP="003B6EC7">
            <w:pPr>
              <w:pStyle w:val="Body"/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>Joseph A. Main (2009 to 2017</w:t>
            </w:r>
            <w:r w:rsidR="00A94B52" w:rsidRPr="00D12864">
              <w:rPr>
                <w:rFonts w:ascii="Arial" w:hAnsi="Arial" w:cs="Arial"/>
                <w:color w:val="auto"/>
              </w:rPr>
              <w:t>): Mine Safety Consultant; Administrator, Health and Safety Department, United Mine Workers of America; Safety Inspector, Administrative Assistant and Deputy Director, Safety Division, United Mine Workers of America</w:t>
            </w:r>
          </w:p>
        </w:tc>
      </w:tr>
      <w:tr w:rsidR="00A94B52" w:rsidRPr="00D12864" w:rsidTr="003B6EC7">
        <w:trPr>
          <w:trHeight w:val="718"/>
        </w:trPr>
        <w:tc>
          <w:tcPr>
            <w:tcW w:w="9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B52" w:rsidRPr="00D12864" w:rsidRDefault="004061BC" w:rsidP="003B6EC7">
            <w:pPr>
              <w:pStyle w:val="Body"/>
              <w:rPr>
                <w:rFonts w:ascii="Arial" w:hAnsi="Arial" w:cs="Arial"/>
                <w:color w:val="auto"/>
              </w:rPr>
            </w:pPr>
            <w:r w:rsidRPr="00D12864">
              <w:rPr>
                <w:rFonts w:ascii="Arial" w:hAnsi="Arial" w:cs="Arial"/>
                <w:color w:val="auto"/>
              </w:rPr>
              <w:t xml:space="preserve">David D. </w:t>
            </w:r>
            <w:proofErr w:type="spellStart"/>
            <w:r w:rsidRPr="00D12864">
              <w:rPr>
                <w:rFonts w:ascii="Arial" w:hAnsi="Arial" w:cs="Arial"/>
                <w:color w:val="auto"/>
              </w:rPr>
              <w:t>Lauriski</w:t>
            </w:r>
            <w:proofErr w:type="spellEnd"/>
            <w:r w:rsidRPr="00D12864">
              <w:rPr>
                <w:rFonts w:ascii="Arial" w:hAnsi="Arial" w:cs="Arial"/>
                <w:color w:val="auto"/>
              </w:rPr>
              <w:t xml:space="preserve"> (2001 to 2004</w:t>
            </w:r>
            <w:r w:rsidR="00A94B52" w:rsidRPr="00D12864">
              <w:rPr>
                <w:rFonts w:ascii="Arial" w:hAnsi="Arial" w:cs="Arial"/>
                <w:color w:val="auto"/>
              </w:rPr>
              <w:t xml:space="preserve">): President, </w:t>
            </w:r>
            <w:proofErr w:type="spellStart"/>
            <w:r w:rsidR="00A94B52" w:rsidRPr="00D12864">
              <w:rPr>
                <w:rFonts w:ascii="Arial" w:hAnsi="Arial" w:cs="Arial"/>
                <w:color w:val="auto"/>
              </w:rPr>
              <w:t>Lauriski</w:t>
            </w:r>
            <w:proofErr w:type="spellEnd"/>
            <w:r w:rsidR="00A94B52" w:rsidRPr="00D12864">
              <w:rPr>
                <w:rFonts w:ascii="Arial" w:hAnsi="Arial" w:cs="Arial"/>
                <w:color w:val="auto"/>
              </w:rPr>
              <w:t xml:space="preserve"> and Associates, LLC; General Manager, Energy West Mining Company; Director of Health, Safety, Environmental and Government Affairs, </w:t>
            </w:r>
            <w:proofErr w:type="spellStart"/>
            <w:r w:rsidR="00A94B52" w:rsidRPr="00D12864">
              <w:rPr>
                <w:rFonts w:ascii="Arial" w:hAnsi="Arial" w:cs="Arial"/>
                <w:color w:val="auto"/>
              </w:rPr>
              <w:t>Interwest</w:t>
            </w:r>
            <w:proofErr w:type="spellEnd"/>
            <w:r w:rsidR="00A94B52" w:rsidRPr="00D12864">
              <w:rPr>
                <w:rFonts w:ascii="Arial" w:hAnsi="Arial" w:cs="Arial"/>
                <w:color w:val="auto"/>
              </w:rPr>
              <w:t xml:space="preserve"> Mining Company</w:t>
            </w:r>
          </w:p>
        </w:tc>
      </w:tr>
    </w:tbl>
    <w:p w:rsidR="0065726B" w:rsidRPr="00EB146E" w:rsidRDefault="0065726B" w:rsidP="009E224E">
      <w:pPr>
        <w:pStyle w:val="Body"/>
        <w:widowControl w:val="0"/>
        <w:rPr>
          <w:b/>
          <w:color w:val="FF0000"/>
        </w:rPr>
      </w:pPr>
    </w:p>
    <w:sectPr w:rsidR="0065726B" w:rsidRPr="00EB146E">
      <w:footerReference w:type="default" r:id="rId7"/>
      <w:pgSz w:w="12240" w:h="15840"/>
      <w:pgMar w:top="576" w:right="1368" w:bottom="2448" w:left="1296" w:header="288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BE" w:rsidRDefault="004265BE">
      <w:r>
        <w:separator/>
      </w:r>
    </w:p>
  </w:endnote>
  <w:endnote w:type="continuationSeparator" w:id="0">
    <w:p w:rsidR="004265BE" w:rsidRDefault="004265BE">
      <w:r>
        <w:continuationSeparator/>
      </w:r>
    </w:p>
  </w:endnote>
  <w:endnote w:id="1">
    <w:p w:rsidR="00D12864" w:rsidRDefault="00D1286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3C1C9B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26B" w:rsidRDefault="00A94B52">
    <w:pPr>
      <w:pStyle w:val="TGAppendixBodyHeaders"/>
      <w:pBdr>
        <w:top w:val="single" w:sz="2" w:space="0" w:color="000000"/>
      </w:pBdr>
      <w:spacing w:line="276" w:lineRule="auto"/>
      <w:ind w:left="40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>
          <wp:extent cx="3049693" cy="34640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693" cy="346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65726B" w:rsidRDefault="0065726B">
    <w:pPr>
      <w:pStyle w:val="TGAppendixBodyHeaders"/>
      <w:ind w:left="40"/>
      <w:rPr>
        <w:rFonts w:ascii="Arial" w:hAnsi="Arial"/>
      </w:rPr>
    </w:pPr>
  </w:p>
  <w:p w:rsidR="0065726B" w:rsidRDefault="00A94B52">
    <w:pPr>
      <w:pStyle w:val="TGAppendixBodyHeaders"/>
      <w:ind w:left="40"/>
      <w:rPr>
        <w:rFonts w:ascii="Arial" w:eastAsia="Arial" w:hAnsi="Arial" w:cs="Arial"/>
      </w:rPr>
    </w:pPr>
    <w:r>
      <w:rPr>
        <w:rFonts w:ascii="Arial" w:hAnsi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65726B" w:rsidRDefault="0065726B">
    <w:pPr>
      <w:pStyle w:val="TGAppendixBodyHeaders"/>
      <w:ind w:left="40"/>
      <w:rPr>
        <w:rFonts w:ascii="Arial" w:eastAsia="Arial" w:hAnsi="Arial" w:cs="Arial"/>
      </w:rPr>
    </w:pPr>
  </w:p>
  <w:p w:rsidR="0065726B" w:rsidRDefault="00A94B52">
    <w:pPr>
      <w:pStyle w:val="TGAppendixBodyHeaders"/>
      <w:ind w:left="40"/>
    </w:pPr>
    <w:r>
      <w:rPr>
        <w:rFonts w:ascii="Arial" w:hAnsi="Arial"/>
        <w:b/>
        <w:bCs/>
      </w:rPr>
      <w:t>For original transition documents and additional resources, templates and tools, visit presidentialtransition.org.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BE" w:rsidRDefault="004265BE">
      <w:r>
        <w:separator/>
      </w:r>
    </w:p>
  </w:footnote>
  <w:footnote w:type="continuationSeparator" w:id="0">
    <w:p w:rsidR="004265BE" w:rsidRDefault="0042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E24"/>
    <w:multiLevelType w:val="hybridMultilevel"/>
    <w:tmpl w:val="5014799E"/>
    <w:lvl w:ilvl="0" w:tplc="31A4B56E">
      <w:start w:val="1"/>
      <w:numFmt w:val="bullet"/>
      <w:lvlText w:val="•"/>
      <w:lvlJc w:val="left"/>
      <w:pPr>
        <w:ind w:left="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505924">
      <w:start w:val="1"/>
      <w:numFmt w:val="bullet"/>
      <w:lvlText w:val="o"/>
      <w:lvlJc w:val="left"/>
      <w:pPr>
        <w:ind w:left="11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4625E">
      <w:start w:val="1"/>
      <w:numFmt w:val="bullet"/>
      <w:lvlText w:val="▪"/>
      <w:lvlJc w:val="left"/>
      <w:pPr>
        <w:ind w:left="18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1A0B4C">
      <w:start w:val="1"/>
      <w:numFmt w:val="bullet"/>
      <w:lvlText w:val="•"/>
      <w:lvlJc w:val="left"/>
      <w:pPr>
        <w:ind w:left="25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D8AD06">
      <w:start w:val="1"/>
      <w:numFmt w:val="bullet"/>
      <w:lvlText w:val="o"/>
      <w:lvlJc w:val="left"/>
      <w:pPr>
        <w:ind w:left="33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78A6D0">
      <w:start w:val="1"/>
      <w:numFmt w:val="bullet"/>
      <w:lvlText w:val="▪"/>
      <w:lvlJc w:val="left"/>
      <w:pPr>
        <w:ind w:left="40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F87DC2">
      <w:start w:val="1"/>
      <w:numFmt w:val="bullet"/>
      <w:lvlText w:val="•"/>
      <w:lvlJc w:val="left"/>
      <w:pPr>
        <w:ind w:left="47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38BA7A">
      <w:start w:val="1"/>
      <w:numFmt w:val="bullet"/>
      <w:lvlText w:val="o"/>
      <w:lvlJc w:val="left"/>
      <w:pPr>
        <w:ind w:left="54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2847F6">
      <w:start w:val="1"/>
      <w:numFmt w:val="bullet"/>
      <w:lvlText w:val="▪"/>
      <w:lvlJc w:val="left"/>
      <w:pPr>
        <w:ind w:left="61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E460E5"/>
    <w:multiLevelType w:val="hybridMultilevel"/>
    <w:tmpl w:val="0142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6E82"/>
    <w:multiLevelType w:val="hybridMultilevel"/>
    <w:tmpl w:val="97FE888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505924">
      <w:start w:val="1"/>
      <w:numFmt w:val="bullet"/>
      <w:lvlText w:val="o"/>
      <w:lvlJc w:val="left"/>
      <w:pPr>
        <w:ind w:left="11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4625E">
      <w:start w:val="1"/>
      <w:numFmt w:val="bullet"/>
      <w:lvlText w:val="▪"/>
      <w:lvlJc w:val="left"/>
      <w:pPr>
        <w:ind w:left="18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1A0B4C">
      <w:start w:val="1"/>
      <w:numFmt w:val="bullet"/>
      <w:lvlText w:val="•"/>
      <w:lvlJc w:val="left"/>
      <w:pPr>
        <w:ind w:left="25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D8AD06">
      <w:start w:val="1"/>
      <w:numFmt w:val="bullet"/>
      <w:lvlText w:val="o"/>
      <w:lvlJc w:val="left"/>
      <w:pPr>
        <w:ind w:left="33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78A6D0">
      <w:start w:val="1"/>
      <w:numFmt w:val="bullet"/>
      <w:lvlText w:val="▪"/>
      <w:lvlJc w:val="left"/>
      <w:pPr>
        <w:ind w:left="40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F87DC2">
      <w:start w:val="1"/>
      <w:numFmt w:val="bullet"/>
      <w:lvlText w:val="•"/>
      <w:lvlJc w:val="left"/>
      <w:pPr>
        <w:ind w:left="47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38BA7A">
      <w:start w:val="1"/>
      <w:numFmt w:val="bullet"/>
      <w:lvlText w:val="o"/>
      <w:lvlJc w:val="left"/>
      <w:pPr>
        <w:ind w:left="54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2847F6">
      <w:start w:val="1"/>
      <w:numFmt w:val="bullet"/>
      <w:lvlText w:val="▪"/>
      <w:lvlJc w:val="left"/>
      <w:pPr>
        <w:ind w:left="61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15C13BD"/>
    <w:multiLevelType w:val="hybridMultilevel"/>
    <w:tmpl w:val="EF20508E"/>
    <w:lvl w:ilvl="0" w:tplc="DA2C4C32">
      <w:start w:val="1"/>
      <w:numFmt w:val="bullet"/>
      <w:lvlText w:val="•"/>
      <w:lvlJc w:val="left"/>
      <w:pPr>
        <w:ind w:left="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742F8E">
      <w:start w:val="1"/>
      <w:numFmt w:val="bullet"/>
      <w:lvlText w:val="o"/>
      <w:lvlJc w:val="left"/>
      <w:pPr>
        <w:ind w:left="11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968BAE">
      <w:start w:val="1"/>
      <w:numFmt w:val="bullet"/>
      <w:lvlText w:val="▪"/>
      <w:lvlJc w:val="left"/>
      <w:pPr>
        <w:ind w:left="18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A4463A">
      <w:start w:val="1"/>
      <w:numFmt w:val="bullet"/>
      <w:lvlText w:val="•"/>
      <w:lvlJc w:val="left"/>
      <w:pPr>
        <w:ind w:left="25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8CDE28">
      <w:start w:val="1"/>
      <w:numFmt w:val="bullet"/>
      <w:lvlText w:val="o"/>
      <w:lvlJc w:val="left"/>
      <w:pPr>
        <w:ind w:left="33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D8D256">
      <w:start w:val="1"/>
      <w:numFmt w:val="bullet"/>
      <w:lvlText w:val="▪"/>
      <w:lvlJc w:val="left"/>
      <w:pPr>
        <w:ind w:left="40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200CD4">
      <w:start w:val="1"/>
      <w:numFmt w:val="bullet"/>
      <w:lvlText w:val="•"/>
      <w:lvlJc w:val="left"/>
      <w:pPr>
        <w:ind w:left="47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F0DDAE">
      <w:start w:val="1"/>
      <w:numFmt w:val="bullet"/>
      <w:lvlText w:val="o"/>
      <w:lvlJc w:val="left"/>
      <w:pPr>
        <w:ind w:left="54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4A3386">
      <w:start w:val="1"/>
      <w:numFmt w:val="bullet"/>
      <w:lvlText w:val="▪"/>
      <w:lvlJc w:val="left"/>
      <w:pPr>
        <w:ind w:left="61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B12372A"/>
    <w:multiLevelType w:val="hybridMultilevel"/>
    <w:tmpl w:val="1CDA5C9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742F8E">
      <w:start w:val="1"/>
      <w:numFmt w:val="bullet"/>
      <w:lvlText w:val="o"/>
      <w:lvlJc w:val="left"/>
      <w:pPr>
        <w:ind w:left="11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968BAE">
      <w:start w:val="1"/>
      <w:numFmt w:val="bullet"/>
      <w:lvlText w:val="▪"/>
      <w:lvlJc w:val="left"/>
      <w:pPr>
        <w:ind w:left="18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A4463A">
      <w:start w:val="1"/>
      <w:numFmt w:val="bullet"/>
      <w:lvlText w:val="•"/>
      <w:lvlJc w:val="left"/>
      <w:pPr>
        <w:ind w:left="25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8CDE28">
      <w:start w:val="1"/>
      <w:numFmt w:val="bullet"/>
      <w:lvlText w:val="o"/>
      <w:lvlJc w:val="left"/>
      <w:pPr>
        <w:ind w:left="33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D8D256">
      <w:start w:val="1"/>
      <w:numFmt w:val="bullet"/>
      <w:lvlText w:val="▪"/>
      <w:lvlJc w:val="left"/>
      <w:pPr>
        <w:ind w:left="40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200CD4">
      <w:start w:val="1"/>
      <w:numFmt w:val="bullet"/>
      <w:lvlText w:val="•"/>
      <w:lvlJc w:val="left"/>
      <w:pPr>
        <w:ind w:left="47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F0DDAE">
      <w:start w:val="1"/>
      <w:numFmt w:val="bullet"/>
      <w:lvlText w:val="o"/>
      <w:lvlJc w:val="left"/>
      <w:pPr>
        <w:ind w:left="54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4A3386">
      <w:start w:val="1"/>
      <w:numFmt w:val="bullet"/>
      <w:lvlText w:val="▪"/>
      <w:lvlJc w:val="left"/>
      <w:pPr>
        <w:ind w:left="61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6B"/>
    <w:rsid w:val="003C1C9B"/>
    <w:rsid w:val="004061BC"/>
    <w:rsid w:val="004265BE"/>
    <w:rsid w:val="0065726B"/>
    <w:rsid w:val="00657B98"/>
    <w:rsid w:val="006B420E"/>
    <w:rsid w:val="00754576"/>
    <w:rsid w:val="008A65BF"/>
    <w:rsid w:val="009E224E"/>
    <w:rsid w:val="00A94B52"/>
    <w:rsid w:val="00BD298C"/>
    <w:rsid w:val="00D12864"/>
    <w:rsid w:val="00EA661E"/>
    <w:rsid w:val="00EB146E"/>
    <w:rsid w:val="00F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D5135-7686-40B4-B089-DC86B3D0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GAppendixBodyHeaders">
    <w:name w:val="TG_Appendix Body (Headers)"/>
    <w:pPr>
      <w:widowControl w:val="0"/>
      <w:tabs>
        <w:tab w:val="left" w:pos="720"/>
      </w:tabs>
      <w:suppressAutoHyphens/>
      <w:spacing w:line="180" w:lineRule="atLeast"/>
    </w:pPr>
    <w:rPr>
      <w:rFonts w:ascii="GothamNarrow-Book" w:eastAsia="GothamNarrow-Book" w:hAnsi="GothamNarrow-Book" w:cs="GothamNarrow-Book"/>
      <w:color w:val="000000"/>
      <w:sz w:val="16"/>
      <w:szCs w:val="16"/>
      <w:u w:color="000000"/>
    </w:rPr>
  </w:style>
  <w:style w:type="paragraph" w:customStyle="1" w:styleId="Heading">
    <w:name w:val="Heading"/>
    <w:next w:val="Body"/>
    <w:pPr>
      <w:keepNext/>
      <w:keepLines/>
      <w:pBdr>
        <w:bottom w:val="single" w:sz="4" w:space="0" w:color="003055"/>
      </w:pBdr>
      <w:tabs>
        <w:tab w:val="left" w:pos="4016"/>
      </w:tabs>
      <w:spacing w:before="480" w:after="120"/>
      <w:outlineLvl w:val="0"/>
    </w:pPr>
    <w:rPr>
      <w:rFonts w:ascii="Arial" w:hAnsi="Arial" w:cs="Arial Unicode MS"/>
      <w:b/>
      <w:bCs/>
      <w:caps/>
      <w:color w:val="000000"/>
      <w:sz w:val="26"/>
      <w:szCs w:val="26"/>
      <w:u w:color="000000"/>
    </w:rPr>
  </w:style>
  <w:style w:type="paragraph" w:customStyle="1" w:styleId="Body">
    <w:name w:val="Body"/>
    <w:rPr>
      <w:rFonts w:cs="Arial Unicode MS"/>
      <w:color w:val="000000"/>
      <w:sz w:val="22"/>
      <w:szCs w:val="22"/>
      <w:u w:color="000000"/>
    </w:rPr>
  </w:style>
  <w:style w:type="paragraph" w:styleId="ListParagraph">
    <w:name w:val="List Paragraph"/>
    <w:rPr>
      <w:rFonts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6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28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2864"/>
  </w:style>
  <w:style w:type="character" w:styleId="EndnoteReference">
    <w:name w:val="endnote reference"/>
    <w:basedOn w:val="DefaultParagraphFont"/>
    <w:uiPriority w:val="99"/>
    <w:semiHidden/>
    <w:unhideWhenUsed/>
    <w:rsid w:val="00D12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nership">
  <a:themeElements>
    <a:clrScheme name="Partnership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0000FF"/>
      </a:hlink>
      <a:folHlink>
        <a:srgbClr val="FF00FF"/>
      </a:folHlink>
    </a:clrScheme>
    <a:fontScheme name="Partnership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Partnership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3055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3055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Pietrantoni</dc:creator>
  <cp:lastModifiedBy>Casey Dennison</cp:lastModifiedBy>
  <cp:revision>5</cp:revision>
  <dcterms:created xsi:type="dcterms:W3CDTF">2017-02-03T19:16:00Z</dcterms:created>
  <dcterms:modified xsi:type="dcterms:W3CDTF">2017-08-23T19:37:00Z</dcterms:modified>
</cp:coreProperties>
</file>