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15E2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815E21">
        <w:rPr>
          <w:rFonts w:asciiTheme="majorHAnsi" w:hAnsiTheme="majorHAnsi" w:cstheme="majorHAnsi"/>
          <w:szCs w:val="26"/>
        </w:rPr>
        <w:t>Assistant Secretary for Strategy, Plans and Capabilities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4563F9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4563F9" w:rsidP="00377C95">
            <w:pPr>
              <w:rPr>
                <w:rFonts w:asciiTheme="majorHAnsi" w:hAnsiTheme="majorHAnsi" w:cstheme="majorHAnsi"/>
              </w:rPr>
            </w:pPr>
            <w:r w:rsidRPr="004563F9">
              <w:rPr>
                <w:rFonts w:asciiTheme="majorHAnsi" w:hAnsiTheme="majorHAnsi" w:cstheme="majorHAnsi"/>
              </w:rPr>
              <w:t xml:space="preserve">The mission of the Department of </w:t>
            </w:r>
            <w:r w:rsidR="00377C95" w:rsidRPr="004563F9">
              <w:rPr>
                <w:rFonts w:asciiTheme="majorHAnsi" w:hAnsiTheme="majorHAnsi" w:cstheme="majorHAnsi"/>
              </w:rPr>
              <w:t>Defense</w:t>
            </w:r>
            <w:r w:rsidR="00377C95">
              <w:rPr>
                <w:rFonts w:asciiTheme="majorHAnsi" w:hAnsiTheme="majorHAnsi" w:cstheme="majorHAnsi"/>
              </w:rPr>
              <w:t xml:space="preserve"> (DOD) </w:t>
            </w:r>
            <w:r w:rsidRPr="004563F9">
              <w:rPr>
                <w:rFonts w:asciiTheme="majorHAnsi" w:hAnsiTheme="majorHAnsi" w:cstheme="majorHAnsi"/>
              </w:rPr>
              <w:t>is to provide the military forces needed to deter war and to protect the security of our country.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15E21" w:rsidRDefault="008D62FC" w:rsidP="00661AE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strategy, plans and capabilities</w:t>
            </w:r>
            <w:r w:rsidRPr="008D62FC">
              <w:rPr>
                <w:rFonts w:asciiTheme="majorHAnsi" w:hAnsiTheme="majorHAnsi" w:cstheme="majorHAnsi"/>
                <w:bCs/>
              </w:rPr>
              <w:t xml:space="preserve"> is responsible for advising the secr</w:t>
            </w:r>
            <w:r>
              <w:rPr>
                <w:rFonts w:asciiTheme="majorHAnsi" w:hAnsiTheme="majorHAnsi" w:cstheme="majorHAnsi"/>
                <w:bCs/>
              </w:rPr>
              <w:t>etary of defense and the unders</w:t>
            </w:r>
            <w:r w:rsidRPr="008D62FC">
              <w:rPr>
                <w:rFonts w:asciiTheme="majorHAnsi" w:hAnsiTheme="majorHAnsi" w:cstheme="majorHAnsi"/>
                <w:bCs/>
              </w:rPr>
              <w:t>ecretary of defense for policy on national security and defense strategy; the forces and contingency plans necessary to implement defense strategy; nuclear deterrence and missile defense policy; and security cooperation plans and policies.</w:t>
            </w:r>
            <w:r w:rsidR="00C60B62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60C2B" w:rsidP="006554F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6554F6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3F9" w:rsidRPr="00D56177" w:rsidRDefault="004563F9" w:rsidP="004563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</w:t>
            </w:r>
            <w:r w:rsidR="002C14E7">
              <w:rPr>
                <w:rFonts w:asciiTheme="majorHAnsi" w:hAnsiTheme="majorHAnsi" w:cstheme="majorHAnsi"/>
              </w:rPr>
              <w:t>secretary of Defense for Policy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C19" w:rsidRPr="00D56177" w:rsidRDefault="00A710C4" w:rsidP="00A710C4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Office of the Assistant Secretary for Strategy, Plans and Capabilities includes</w:t>
            </w:r>
            <w:r w:rsidR="00FB7476">
              <w:rPr>
                <w:rFonts w:asciiTheme="majorHAnsi" w:hAnsiTheme="majorHAnsi" w:cstheme="majorHAnsi"/>
                <w:bCs/>
              </w:rPr>
              <w:t xml:space="preserve"> a </w:t>
            </w:r>
            <w:r w:rsidR="00FB7476" w:rsidRPr="00FB7476">
              <w:rPr>
                <w:rFonts w:asciiTheme="majorHAnsi" w:hAnsiTheme="majorHAnsi" w:cstheme="majorHAnsi"/>
                <w:bCs/>
              </w:rPr>
              <w:t>principal deputy assistant secretary of defense for strategy, plans and capabilities</w:t>
            </w:r>
            <w:r w:rsidR="00FB7476">
              <w:rPr>
                <w:rFonts w:asciiTheme="majorHAnsi" w:hAnsiTheme="majorHAnsi" w:cstheme="majorHAnsi"/>
                <w:bCs/>
              </w:rPr>
              <w:t>; a deputy</w:t>
            </w:r>
            <w:r w:rsidR="00FB7476" w:rsidRPr="00A710C4">
              <w:rPr>
                <w:rFonts w:asciiTheme="majorHAnsi" w:hAnsiTheme="majorHAnsi" w:cstheme="majorHAnsi"/>
                <w:bCs/>
              </w:rPr>
              <w:t xml:space="preserve"> assistant secretary of defense for strategy and force development</w:t>
            </w:r>
            <w:r w:rsidR="00FB7476">
              <w:rPr>
                <w:rFonts w:asciiTheme="majorHAnsi" w:hAnsiTheme="majorHAnsi" w:cstheme="majorHAnsi"/>
                <w:bCs/>
              </w:rPr>
              <w:t xml:space="preserve">; a </w:t>
            </w:r>
            <w:r w:rsidR="00FB7476" w:rsidRPr="00A710C4">
              <w:rPr>
                <w:rFonts w:asciiTheme="majorHAnsi" w:hAnsiTheme="majorHAnsi" w:cstheme="majorHAnsi"/>
                <w:bCs/>
              </w:rPr>
              <w:t>deputy assistant secretary of defense for plans</w:t>
            </w:r>
            <w:r w:rsidR="00FB7476">
              <w:rPr>
                <w:rFonts w:asciiTheme="majorHAnsi" w:hAnsiTheme="majorHAnsi" w:cstheme="majorHAnsi"/>
                <w:bCs/>
              </w:rPr>
              <w:t xml:space="preserve">; a </w:t>
            </w:r>
            <w:r w:rsidR="00FB7476" w:rsidRPr="00A710C4">
              <w:rPr>
                <w:rFonts w:asciiTheme="majorHAnsi" w:hAnsiTheme="majorHAnsi" w:cstheme="majorHAnsi"/>
                <w:bCs/>
              </w:rPr>
              <w:t>deputy assistant secretary of defense for nuclear and missile defense policy</w:t>
            </w:r>
            <w:r w:rsidR="00FB7476">
              <w:rPr>
                <w:rFonts w:asciiTheme="majorHAnsi" w:hAnsiTheme="majorHAnsi" w:cstheme="majorHAnsi"/>
                <w:bCs/>
              </w:rPr>
              <w:t xml:space="preserve">; and a </w:t>
            </w:r>
            <w:r w:rsidR="00FB7476" w:rsidRPr="00A710C4">
              <w:rPr>
                <w:rFonts w:asciiTheme="majorHAnsi" w:hAnsiTheme="majorHAnsi" w:cstheme="majorHAnsi"/>
                <w:bCs/>
              </w:rPr>
              <w:t>deputy assistant secretary of defense for security cooperation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F32C19">
              <w:rPr>
                <w:rFonts w:asciiTheme="majorHAnsi" w:hAnsiTheme="majorHAnsi" w:cstheme="majorHAnsi"/>
                <w:bCs/>
              </w:rPr>
              <w:t xml:space="preserve"> The assistant secretary oversees approximately 100 total employees.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1" w:rsidRDefault="00815E21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t</w:t>
            </w:r>
            <w:r w:rsidRPr="00815E21">
              <w:rPr>
                <w:rFonts w:asciiTheme="majorHAnsi" w:hAnsiTheme="majorHAnsi" w:cstheme="majorHAnsi"/>
              </w:rPr>
              <w:t>he principal advisor to the secretary of defense, depu</w:t>
            </w:r>
            <w:r>
              <w:rPr>
                <w:rFonts w:asciiTheme="majorHAnsi" w:hAnsiTheme="majorHAnsi" w:cstheme="majorHAnsi"/>
              </w:rPr>
              <w:t>ty secretary of defense, unders</w:t>
            </w:r>
            <w:r w:rsidRPr="00815E21">
              <w:rPr>
                <w:rFonts w:asciiTheme="majorHAnsi" w:hAnsiTheme="majorHAnsi" w:cstheme="majorHAnsi"/>
              </w:rPr>
              <w:t>ecretary of defense for policy a</w:t>
            </w:r>
            <w:r>
              <w:rPr>
                <w:rFonts w:asciiTheme="majorHAnsi" w:hAnsiTheme="majorHAnsi" w:cstheme="majorHAnsi"/>
              </w:rPr>
              <w:t>nd principal deputy unders</w:t>
            </w:r>
            <w:r w:rsidRPr="00815E21">
              <w:rPr>
                <w:rFonts w:asciiTheme="majorHAnsi" w:hAnsiTheme="majorHAnsi" w:cstheme="majorHAnsi"/>
              </w:rPr>
              <w:t>ecretary of defense on national security issues and defense strategy</w:t>
            </w:r>
            <w:r w:rsidR="00377C95">
              <w:rPr>
                <w:rFonts w:asciiTheme="majorHAnsi" w:hAnsiTheme="majorHAnsi" w:cstheme="majorHAnsi"/>
              </w:rPr>
              <w:t>,</w:t>
            </w:r>
            <w:r w:rsidRPr="00815E21">
              <w:rPr>
                <w:rFonts w:asciiTheme="majorHAnsi" w:hAnsiTheme="majorHAnsi" w:cstheme="majorHAnsi"/>
              </w:rPr>
              <w:t xml:space="preserve"> and the capabilities, forces and contingency plans necessary to</w:t>
            </w:r>
            <w:r>
              <w:rPr>
                <w:rFonts w:asciiTheme="majorHAnsi" w:hAnsiTheme="majorHAnsi" w:cstheme="majorHAnsi"/>
              </w:rPr>
              <w:t xml:space="preserve"> implement the defense strategy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Support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the secretary and deputy secretary o</w:t>
            </w:r>
            <w:r>
              <w:rPr>
                <w:rFonts w:asciiTheme="majorHAnsi" w:hAnsiTheme="majorHAnsi" w:cstheme="majorHAnsi"/>
              </w:rPr>
              <w:t>f defense</w:t>
            </w:r>
            <w:r w:rsidR="00377C95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the unders</w:t>
            </w:r>
            <w:r w:rsidRPr="001A1E79">
              <w:rPr>
                <w:rFonts w:asciiTheme="majorHAnsi" w:hAnsiTheme="majorHAnsi" w:cstheme="majorHAnsi"/>
              </w:rPr>
              <w:t>ecretary of defense for policy</w:t>
            </w:r>
            <w:r w:rsidR="00377C95">
              <w:rPr>
                <w:rFonts w:asciiTheme="majorHAnsi" w:hAnsiTheme="majorHAnsi" w:cstheme="majorHAnsi"/>
              </w:rPr>
              <w:t>,</w:t>
            </w:r>
            <w:r w:rsidRPr="001A1E79">
              <w:rPr>
                <w:rFonts w:asciiTheme="majorHAnsi" w:hAnsiTheme="majorHAnsi" w:cstheme="majorHAnsi"/>
              </w:rPr>
              <w:t xml:space="preserve"> in providing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77C95">
              <w:rPr>
                <w:rFonts w:asciiTheme="majorHAnsi" w:hAnsiTheme="majorHAnsi" w:cstheme="majorHAnsi"/>
              </w:rPr>
              <w:t xml:space="preserve">DOD </w:t>
            </w:r>
            <w:r w:rsidRPr="001A1E79">
              <w:rPr>
                <w:rFonts w:asciiTheme="majorHAnsi" w:hAnsiTheme="majorHAnsi" w:cstheme="majorHAnsi"/>
              </w:rPr>
              <w:t>with guidance to align resources, activities and capabilities with national secu</w:t>
            </w:r>
            <w:r>
              <w:rPr>
                <w:rFonts w:asciiTheme="majorHAnsi" w:hAnsiTheme="majorHAnsi" w:cstheme="majorHAnsi"/>
              </w:rPr>
              <w:t>rity and defense strategy goals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Provide</w:t>
            </w:r>
            <w:r>
              <w:rPr>
                <w:rFonts w:asciiTheme="majorHAnsi" w:hAnsiTheme="majorHAnsi" w:cstheme="majorHAnsi"/>
              </w:rPr>
              <w:t>s DO</w:t>
            </w:r>
            <w:r w:rsidRPr="001A1E79">
              <w:rPr>
                <w:rFonts w:asciiTheme="majorHAnsi" w:hAnsiTheme="majorHAnsi" w:cstheme="majorHAnsi"/>
              </w:rPr>
              <w:t xml:space="preserve">D input </w:t>
            </w:r>
            <w:r w:rsidR="00377C95">
              <w:rPr>
                <w:rFonts w:asciiTheme="majorHAnsi" w:hAnsiTheme="majorHAnsi" w:cstheme="majorHAnsi"/>
              </w:rPr>
              <w:t>on</w:t>
            </w:r>
            <w:r w:rsidRPr="001A1E79">
              <w:rPr>
                <w:rFonts w:asciiTheme="majorHAnsi" w:hAnsiTheme="majorHAnsi" w:cstheme="majorHAnsi"/>
              </w:rPr>
              <w:t xml:space="preserve"> the national security strategy and associated national, regional and functional stra</w:t>
            </w:r>
            <w:r>
              <w:rPr>
                <w:rFonts w:asciiTheme="majorHAnsi" w:hAnsiTheme="majorHAnsi" w:cstheme="majorHAnsi"/>
              </w:rPr>
              <w:t>tegies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Provide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the Off</w:t>
            </w:r>
            <w:r>
              <w:rPr>
                <w:rFonts w:asciiTheme="majorHAnsi" w:hAnsiTheme="majorHAnsi" w:cstheme="majorHAnsi"/>
              </w:rPr>
              <w:t>ice of the Secretary of Defense</w:t>
            </w:r>
            <w:r w:rsidRPr="001A1E79">
              <w:rPr>
                <w:rFonts w:asciiTheme="majorHAnsi" w:hAnsiTheme="majorHAnsi" w:cstheme="majorHAnsi"/>
              </w:rPr>
              <w:t xml:space="preserve"> input </w:t>
            </w:r>
            <w:r w:rsidR="00377C95">
              <w:rPr>
                <w:rFonts w:asciiTheme="majorHAnsi" w:hAnsiTheme="majorHAnsi" w:cstheme="majorHAnsi"/>
              </w:rPr>
              <w:t>on</w:t>
            </w:r>
            <w:r w:rsidRPr="001A1E79">
              <w:rPr>
                <w:rFonts w:asciiTheme="majorHAnsi" w:hAnsiTheme="majorHAnsi" w:cstheme="majorHAnsi"/>
              </w:rPr>
              <w:t xml:space="preserve"> the national military strategy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lastRenderedPageBreak/>
              <w:t>Develop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National Defense Strategy</w:t>
            </w:r>
            <w:r w:rsidR="00C520B2">
              <w:rPr>
                <w:rFonts w:asciiTheme="majorHAnsi" w:hAnsiTheme="majorHAnsi" w:cstheme="majorHAnsi"/>
              </w:rPr>
              <w:t>, Defense Planning Guide</w:t>
            </w:r>
            <w:r w:rsidRPr="001A1E79">
              <w:rPr>
                <w:rFonts w:asciiTheme="majorHAnsi" w:hAnsiTheme="majorHAnsi" w:cstheme="majorHAnsi"/>
              </w:rPr>
              <w:t xml:space="preserve"> and Guidance for Employment of the Force 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Review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campaign and contingency plans, major force deployments and military operational plans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Evaluate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the capability of forces to accomplish U.S. defense</w:t>
            </w:r>
            <w:r>
              <w:rPr>
                <w:rFonts w:asciiTheme="majorHAnsi" w:hAnsiTheme="majorHAnsi" w:cstheme="majorHAnsi"/>
              </w:rPr>
              <w:t xml:space="preserve"> and national security strategy</w:t>
            </w:r>
          </w:p>
          <w:p w:rsidR="001A1E79" w:rsidRP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policy and strategy guidance to enhance partner capabi</w:t>
            </w:r>
            <w:r>
              <w:rPr>
                <w:rFonts w:asciiTheme="majorHAnsi" w:hAnsiTheme="majorHAnsi" w:cstheme="majorHAnsi"/>
              </w:rPr>
              <w:t>lities and compatibility with DOD</w:t>
            </w:r>
          </w:p>
          <w:p w:rsidR="001A1E79" w:rsidRDefault="001A1E79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Global Force Posture policy and strategy</w:t>
            </w:r>
            <w:r w:rsidR="00377C95">
              <w:rPr>
                <w:rFonts w:asciiTheme="majorHAnsi" w:hAnsiTheme="majorHAnsi" w:cstheme="majorHAnsi"/>
              </w:rPr>
              <w:t>,</w:t>
            </w:r>
            <w:r w:rsidRPr="001A1E79">
              <w:rPr>
                <w:rFonts w:asciiTheme="majorHAnsi" w:hAnsiTheme="majorHAnsi" w:cstheme="majorHAnsi"/>
              </w:rPr>
              <w:t xml:space="preserve"> and oversee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implementation</w:t>
            </w:r>
          </w:p>
          <w:p w:rsidR="00CA18ED" w:rsidRPr="001A1E79" w:rsidRDefault="00CA18ED" w:rsidP="004563F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Prioritizes day-to-day operations and reviews plans for commands</w:t>
            </w:r>
          </w:p>
          <w:p w:rsidR="001A1E79" w:rsidRPr="00815E21" w:rsidRDefault="001A1E7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A1E79">
              <w:rPr>
                <w:rFonts w:asciiTheme="majorHAnsi" w:hAnsiTheme="majorHAnsi" w:cstheme="majorHAnsi"/>
              </w:rPr>
              <w:t>Lead</w:t>
            </w:r>
            <w:r>
              <w:rPr>
                <w:rFonts w:asciiTheme="majorHAnsi" w:hAnsiTheme="majorHAnsi" w:cstheme="majorHAnsi"/>
              </w:rPr>
              <w:t>s</w:t>
            </w:r>
            <w:r w:rsidRPr="001A1E79">
              <w:rPr>
                <w:rFonts w:asciiTheme="majorHAnsi" w:hAnsiTheme="majorHAnsi" w:cstheme="majorHAnsi"/>
              </w:rPr>
              <w:t xml:space="preserve"> the Quadrennial Defense Review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1" w:rsidRDefault="004563F9" w:rsidP="004563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815E21" w:rsidRPr="00815E21">
              <w:rPr>
                <w:rFonts w:asciiTheme="majorHAnsi" w:hAnsiTheme="majorHAnsi" w:cstheme="majorHAnsi"/>
                <w:bCs/>
              </w:rPr>
              <w:t>ppointed from civilian life</w:t>
            </w:r>
            <w:r w:rsidR="00815E21">
              <w:rPr>
                <w:rFonts w:asciiTheme="majorHAnsi" w:hAnsiTheme="majorHAnsi" w:cstheme="majorHAnsi"/>
                <w:bCs/>
              </w:rPr>
              <w:t xml:space="preserve"> (</w:t>
            </w:r>
            <w:r>
              <w:rPr>
                <w:rFonts w:asciiTheme="majorHAnsi" w:hAnsiTheme="majorHAnsi" w:cstheme="majorHAnsi"/>
                <w:bCs/>
              </w:rPr>
              <w:t xml:space="preserve">10 U.S.C. </w:t>
            </w:r>
            <w:r w:rsidR="00815E21" w:rsidRPr="00815E21">
              <w:rPr>
                <w:rFonts w:asciiTheme="majorHAnsi" w:hAnsiTheme="majorHAnsi" w:cstheme="majorHAnsi"/>
                <w:bCs/>
              </w:rPr>
              <w:t>§ 138</w:t>
            </w:r>
            <w:r w:rsidR="00815E21">
              <w:rPr>
                <w:rFonts w:asciiTheme="majorHAnsi" w:hAnsiTheme="majorHAnsi" w:cstheme="majorHAnsi"/>
                <w:bCs/>
              </w:rPr>
              <w:t>)</w:t>
            </w:r>
          </w:p>
          <w:p w:rsidR="00D14405" w:rsidRDefault="00D14405" w:rsidP="004563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the Department of Defense</w:t>
            </w:r>
          </w:p>
          <w:p w:rsidR="00D14405" w:rsidRDefault="00D14405" w:rsidP="004563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the military and the Pentagon</w:t>
            </w:r>
          </w:p>
          <w:p w:rsidR="00D14405" w:rsidRDefault="00D14405" w:rsidP="004563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Experience with or knowledge of risk analysis and program evaluation </w:t>
            </w:r>
          </w:p>
          <w:p w:rsidR="00C520B2" w:rsidRPr="00815E21" w:rsidRDefault="00C520B2" w:rsidP="004563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international affairs and politics (preferred)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D14405" w:rsidP="00D1440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learn quickly and think strategically </w:t>
            </w:r>
          </w:p>
          <w:p w:rsidR="00D14405" w:rsidRDefault="00D14405" w:rsidP="00D1440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interact respectfully yet firmly with military personnel </w:t>
            </w:r>
          </w:p>
          <w:p w:rsidR="00C520B2" w:rsidRPr="00C520B2" w:rsidRDefault="00C520B2" w:rsidP="00C520B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understand budgeting and planning processes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8D62FC" w:rsidP="000650B8">
            <w:pPr>
              <w:rPr>
                <w:rFonts w:asciiTheme="majorHAnsi" w:hAnsiTheme="majorHAnsi" w:cstheme="majorHAnsi"/>
              </w:rPr>
            </w:pPr>
            <w:r w:rsidRPr="008D62FC">
              <w:rPr>
                <w:rFonts w:asciiTheme="majorHAnsi" w:hAnsiTheme="majorHAnsi" w:cstheme="majorHAnsi"/>
              </w:rPr>
              <w:t xml:space="preserve">Robert </w:t>
            </w:r>
            <w:proofErr w:type="spellStart"/>
            <w:r w:rsidRPr="008D62FC">
              <w:rPr>
                <w:rFonts w:asciiTheme="majorHAnsi" w:hAnsiTheme="majorHAnsi" w:cstheme="majorHAnsi"/>
              </w:rPr>
              <w:t>Scher</w:t>
            </w:r>
            <w:proofErr w:type="spellEnd"/>
            <w:r w:rsidR="00082D54">
              <w:rPr>
                <w:rFonts w:asciiTheme="majorHAnsi" w:hAnsiTheme="majorHAnsi" w:cstheme="majorHAnsi"/>
              </w:rPr>
              <w:t xml:space="preserve"> (2014 to 2017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="00C60B62" w:rsidRPr="00C60B62">
              <w:rPr>
                <w:rFonts w:asciiTheme="majorHAnsi" w:hAnsiTheme="majorHAnsi" w:cstheme="majorHAnsi"/>
              </w:rPr>
              <w:t>Deputy Assistant</w:t>
            </w:r>
            <w:r w:rsidR="000650B8">
              <w:rPr>
                <w:rFonts w:asciiTheme="majorHAnsi" w:hAnsiTheme="majorHAnsi" w:cstheme="majorHAnsi"/>
              </w:rPr>
              <w:t xml:space="preserve"> Secretary of Defense for Plans, Office of the Deputy Unders</w:t>
            </w:r>
            <w:r w:rsidR="00C60B62" w:rsidRPr="00C60B62">
              <w:rPr>
                <w:rFonts w:asciiTheme="majorHAnsi" w:hAnsiTheme="majorHAnsi" w:cstheme="majorHAnsi"/>
              </w:rPr>
              <w:t>ecretary of Defense for Strategy, Plans, and Forces</w:t>
            </w:r>
            <w:r w:rsidR="00C60B62">
              <w:rPr>
                <w:rFonts w:asciiTheme="majorHAnsi" w:hAnsiTheme="majorHAnsi" w:cstheme="majorHAnsi"/>
              </w:rPr>
              <w:t xml:space="preserve">; </w:t>
            </w:r>
            <w:r w:rsidR="00C60B62" w:rsidRPr="00C60B62">
              <w:rPr>
                <w:rFonts w:asciiTheme="majorHAnsi" w:hAnsiTheme="majorHAnsi" w:cstheme="majorHAnsi"/>
              </w:rPr>
              <w:t>Deputy Assistant Secreta</w:t>
            </w:r>
            <w:r w:rsidR="000650B8">
              <w:rPr>
                <w:rFonts w:asciiTheme="majorHAnsi" w:hAnsiTheme="majorHAnsi" w:cstheme="majorHAnsi"/>
              </w:rPr>
              <w:t xml:space="preserve">ry for South and Southeast Asia, </w:t>
            </w:r>
            <w:r w:rsidR="00C60B62" w:rsidRPr="00C60B62">
              <w:rPr>
                <w:rFonts w:asciiTheme="majorHAnsi" w:hAnsiTheme="majorHAnsi" w:cstheme="majorHAnsi"/>
              </w:rPr>
              <w:t>Office of the Assistant Secretary of Defense for Asian and Pacific Security Affairs</w:t>
            </w:r>
            <w:r w:rsidR="00C60B62">
              <w:rPr>
                <w:rFonts w:asciiTheme="majorHAnsi" w:hAnsiTheme="majorHAnsi" w:cstheme="majorHAnsi"/>
              </w:rPr>
              <w:t>; A</w:t>
            </w:r>
            <w:r w:rsidR="00C60B62" w:rsidRPr="00C60B62">
              <w:rPr>
                <w:rFonts w:asciiTheme="majorHAnsi" w:hAnsiTheme="majorHAnsi" w:cstheme="majorHAnsi"/>
              </w:rPr>
              <w:t>ssociate at Booz Allen Hamilton where he led efforts to assist Asian nations in improving their defense and national security decision making processes</w:t>
            </w:r>
            <w:r w:rsidR="0011639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7A" w:rsidRDefault="0009277A" w:rsidP="001E22F1">
      <w:r>
        <w:separator/>
      </w:r>
    </w:p>
  </w:endnote>
  <w:endnote w:type="continuationSeparator" w:id="0">
    <w:p w:rsidR="0009277A" w:rsidRDefault="0009277A" w:rsidP="001E22F1">
      <w:r>
        <w:continuationSeparator/>
      </w:r>
    </w:p>
  </w:endnote>
  <w:endnote w:id="1">
    <w:p w:rsidR="00C60B62" w:rsidRDefault="00C60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B96D43">
          <w:rPr>
            <w:rStyle w:val="Hyperlink"/>
          </w:rPr>
          <w:t>http://policy.defense.gov/OUSDP-Offices/ASD-for-Strategy-Plans-and-Capabilities/</w:t>
        </w:r>
      </w:hyperlink>
      <w:r>
        <w:t xml:space="preserve"> </w:t>
      </w:r>
    </w:p>
  </w:endnote>
  <w:endnote w:id="2">
    <w:p w:rsidR="00F60C2B" w:rsidRDefault="00F60C2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54F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A710C4" w:rsidRDefault="00A710C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551E23" w:rsidRPr="00B96D43">
          <w:rPr>
            <w:rStyle w:val="Hyperlink"/>
          </w:rPr>
          <w:t>http://policy.defense.gov/OUSDP-Offices/ASD-for-Strategy-Plans-and-Capabilities/</w:t>
        </w:r>
      </w:hyperlink>
      <w:r w:rsidR="00551E23">
        <w:t xml:space="preserve"> </w:t>
      </w:r>
    </w:p>
  </w:endnote>
  <w:endnote w:id="4">
    <w:p w:rsidR="001A1E79" w:rsidRDefault="001A1E7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B96D43">
          <w:rPr>
            <w:rStyle w:val="Hyperlink"/>
          </w:rPr>
          <w:t>http://policy.defense.gov/OUSDP-Offices/ASD-for-Strategy-Plans-and-Capabilities/</w:t>
        </w:r>
      </w:hyperlink>
      <w:r>
        <w:t xml:space="preserve"> </w:t>
      </w:r>
    </w:p>
  </w:endnote>
  <w:endnote w:id="5">
    <w:p w:rsidR="0011639B" w:rsidRDefault="0011639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B96D43">
          <w:rPr>
            <w:rStyle w:val="Hyperlink"/>
          </w:rPr>
          <w:t>http://policy.defense.gov/OUSDP-Offices/ASD-for-Strategy-Plans-and-Capabilities/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7A" w:rsidRDefault="0009277A" w:rsidP="001E22F1">
      <w:r>
        <w:separator/>
      </w:r>
    </w:p>
  </w:footnote>
  <w:footnote w:type="continuationSeparator" w:id="0">
    <w:p w:rsidR="0009277A" w:rsidRDefault="0009277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554F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565"/>
    <w:multiLevelType w:val="hybridMultilevel"/>
    <w:tmpl w:val="8C2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1C6"/>
    <w:multiLevelType w:val="hybridMultilevel"/>
    <w:tmpl w:val="F0C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3"/>
  </w:num>
  <w:num w:numId="4">
    <w:abstractNumId w:val="36"/>
  </w:num>
  <w:num w:numId="5">
    <w:abstractNumId w:val="7"/>
  </w:num>
  <w:num w:numId="6">
    <w:abstractNumId w:val="32"/>
  </w:num>
  <w:num w:numId="7">
    <w:abstractNumId w:val="6"/>
  </w:num>
  <w:num w:numId="8">
    <w:abstractNumId w:val="28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1"/>
  </w:num>
  <w:num w:numId="19">
    <w:abstractNumId w:val="10"/>
  </w:num>
  <w:num w:numId="20">
    <w:abstractNumId w:val="24"/>
  </w:num>
  <w:num w:numId="21">
    <w:abstractNumId w:val="29"/>
  </w:num>
  <w:num w:numId="22">
    <w:abstractNumId w:val="12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1"/>
  </w:num>
  <w:num w:numId="34">
    <w:abstractNumId w:val="1"/>
  </w:num>
  <w:num w:numId="35">
    <w:abstractNumId w:val="26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50B8"/>
    <w:rsid w:val="0006648F"/>
    <w:rsid w:val="00073701"/>
    <w:rsid w:val="0007480D"/>
    <w:rsid w:val="00076645"/>
    <w:rsid w:val="00080E76"/>
    <w:rsid w:val="00082D54"/>
    <w:rsid w:val="000846D6"/>
    <w:rsid w:val="0008706F"/>
    <w:rsid w:val="00087A28"/>
    <w:rsid w:val="0009277A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1639B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1E79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14E7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77C95"/>
    <w:rsid w:val="00386024"/>
    <w:rsid w:val="003910F3"/>
    <w:rsid w:val="0039752D"/>
    <w:rsid w:val="003A0397"/>
    <w:rsid w:val="003A4DD4"/>
    <w:rsid w:val="003A6E33"/>
    <w:rsid w:val="003B32DB"/>
    <w:rsid w:val="003B3444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563F9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1E23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329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4F6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E21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D62FC"/>
    <w:rsid w:val="00901824"/>
    <w:rsid w:val="009069C2"/>
    <w:rsid w:val="009140FD"/>
    <w:rsid w:val="009241DC"/>
    <w:rsid w:val="009320AA"/>
    <w:rsid w:val="00932702"/>
    <w:rsid w:val="00943B13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10C4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1CD8"/>
    <w:rsid w:val="00BC78FF"/>
    <w:rsid w:val="00BD0F2B"/>
    <w:rsid w:val="00BD29EF"/>
    <w:rsid w:val="00BD4300"/>
    <w:rsid w:val="00BE28D8"/>
    <w:rsid w:val="00BE379B"/>
    <w:rsid w:val="00BF2BCE"/>
    <w:rsid w:val="00BF69BE"/>
    <w:rsid w:val="00C00762"/>
    <w:rsid w:val="00C05B41"/>
    <w:rsid w:val="00C068DB"/>
    <w:rsid w:val="00C07FF8"/>
    <w:rsid w:val="00C14F52"/>
    <w:rsid w:val="00C153DF"/>
    <w:rsid w:val="00C20DFA"/>
    <w:rsid w:val="00C23B65"/>
    <w:rsid w:val="00C30408"/>
    <w:rsid w:val="00C335FE"/>
    <w:rsid w:val="00C3365A"/>
    <w:rsid w:val="00C36CC2"/>
    <w:rsid w:val="00C44A8F"/>
    <w:rsid w:val="00C46EEC"/>
    <w:rsid w:val="00C520B2"/>
    <w:rsid w:val="00C5538B"/>
    <w:rsid w:val="00C60B62"/>
    <w:rsid w:val="00C71212"/>
    <w:rsid w:val="00C82C06"/>
    <w:rsid w:val="00C866F7"/>
    <w:rsid w:val="00C87AFC"/>
    <w:rsid w:val="00C90793"/>
    <w:rsid w:val="00C90AD7"/>
    <w:rsid w:val="00C94E0B"/>
    <w:rsid w:val="00CA0F50"/>
    <w:rsid w:val="00CA18ED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405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5A3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2C19"/>
    <w:rsid w:val="00F436CE"/>
    <w:rsid w:val="00F51D84"/>
    <w:rsid w:val="00F60C2B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476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FFFFFF"/>
          </w:divBdr>
          <w:divsChild>
            <w:div w:id="314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FFFFFF"/>
          </w:divBdr>
          <w:divsChild>
            <w:div w:id="1623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licy.defense.gov/OUSDP-Offices/ASD-for-Strategy-Plans-and-Capabilities/" TargetMode="External"/><Relationship Id="rId2" Type="http://schemas.openxmlformats.org/officeDocument/2006/relationships/hyperlink" Target="http://policy.defense.gov/OUSDP-Offices/ASD-for-Strategy-Plans-and-Capabilities/" TargetMode="External"/><Relationship Id="rId1" Type="http://schemas.openxmlformats.org/officeDocument/2006/relationships/hyperlink" Target="http://policy.defense.gov/OUSDP-Offices/ASD-for-Strategy-Plans-and-Capabilities/" TargetMode="External"/><Relationship Id="rId4" Type="http://schemas.openxmlformats.org/officeDocument/2006/relationships/hyperlink" Target="http://policy.defense.gov/OUSDP-Offices/ASD-for-Strategy-Plans-and-Capabiliti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E63FE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DB21D7-FD64-4F24-A252-2A99B933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2017-04-18T17:04:00Z</dcterms:created>
  <dcterms:modified xsi:type="dcterms:W3CDTF">2017-08-23T18:52:00Z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