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9620" w14:textId="4EB935A5" w:rsidR="00EB6E68" w:rsidRDefault="00EB6E68" w:rsidP="00EB6E68">
      <w:pPr>
        <w:pStyle w:val="paragraph"/>
        <w:spacing w:before="0" w:beforeAutospacing="0" w:after="0" w:afterAutospacing="0"/>
        <w:textAlignment w:val="baseline"/>
        <w:rPr>
          <w:rStyle w:val="normaltextrun"/>
          <w:rFonts w:ascii="Arial" w:hAnsi="Arial" w:cs="Arial"/>
          <w:caps/>
          <w:color w:val="003055"/>
          <w:sz w:val="20"/>
          <w:szCs w:val="20"/>
        </w:rPr>
      </w:pPr>
      <w:bookmarkStart w:id="0" w:name="_Toc143586611"/>
    </w:p>
    <w:p w14:paraId="148D8DED" w14:textId="77777777" w:rsidR="00DD7902" w:rsidRDefault="00EB6E68" w:rsidP="003C0B7B">
      <w:pPr>
        <w:pStyle w:val="paragraph"/>
        <w:spacing w:before="120" w:beforeAutospacing="0" w:after="0" w:afterAutospacing="0"/>
        <w:textAlignment w:val="baseline"/>
        <w:rPr>
          <w:rStyle w:val="eop"/>
          <w:rFonts w:ascii="Arial" w:hAnsi="Arial" w:cs="Arial"/>
          <w:b/>
          <w:bCs/>
          <w:caps/>
          <w:color w:val="003055"/>
          <w:sz w:val="20"/>
          <w:szCs w:val="20"/>
        </w:rPr>
      </w:pPr>
      <w:r>
        <w:rPr>
          <w:rStyle w:val="normaltextrun"/>
          <w:rFonts w:ascii="Arial" w:hAnsi="Arial" w:cs="Arial"/>
          <w:caps/>
          <w:color w:val="003055"/>
          <w:sz w:val="20"/>
          <w:szCs w:val="20"/>
        </w:rPr>
        <w:t>POSITION DESCRIPTION</w:t>
      </w:r>
      <w:r>
        <w:rPr>
          <w:rStyle w:val="eop"/>
          <w:rFonts w:ascii="Arial" w:hAnsi="Arial" w:cs="Arial"/>
          <w:b/>
          <w:bCs/>
          <w:caps/>
          <w:color w:val="003055"/>
          <w:sz w:val="20"/>
          <w:szCs w:val="20"/>
        </w:rPr>
        <w:t> </w:t>
      </w:r>
    </w:p>
    <w:p w14:paraId="08958C54" w14:textId="68415521" w:rsidR="00EB6E68" w:rsidRPr="00DD7902" w:rsidRDefault="00EB6E68" w:rsidP="003C0B7B">
      <w:pPr>
        <w:pStyle w:val="Heading1"/>
        <w:spacing w:before="120" w:after="0"/>
        <w:rPr>
          <w:rFonts w:eastAsia="Times New Roman"/>
          <w:sz w:val="20"/>
          <w:szCs w:val="20"/>
        </w:rPr>
      </w:pPr>
      <w:r w:rsidRPr="600099C1">
        <w:rPr>
          <w:rStyle w:val="normaltextrun"/>
          <w:rFonts w:cs="Arial"/>
          <w:color w:val="003055" w:themeColor="text1"/>
        </w:rPr>
        <w:t xml:space="preserve">chief financial officer and assistant secretary for </w:t>
      </w:r>
      <w:r w:rsidR="3004D1A6" w:rsidRPr="600099C1">
        <w:rPr>
          <w:rStyle w:val="normaltextrun"/>
          <w:rFonts w:cs="Arial"/>
          <w:color w:val="003055" w:themeColor="text1"/>
        </w:rPr>
        <w:t>administration</w:t>
      </w:r>
      <w:r w:rsidRPr="600099C1">
        <w:rPr>
          <w:rStyle w:val="normaltextrun"/>
          <w:rFonts w:cs="Arial"/>
          <w:color w:val="003055" w:themeColor="text1"/>
        </w:rPr>
        <w:t>, department of commerce</w:t>
      </w:r>
    </w:p>
    <w:p w14:paraId="6D33A1D3" w14:textId="77777777" w:rsidR="00661AE5" w:rsidRPr="00224D1E" w:rsidRDefault="00661AE5" w:rsidP="00111640">
      <w:pPr>
        <w:ind w:right="108"/>
        <w:rPr>
          <w:rFonts w:asciiTheme="majorHAnsi" w:hAnsiTheme="majorHAnsi" w:cstheme="majorHAnsi"/>
        </w:rPr>
      </w:pPr>
    </w:p>
    <w:tbl>
      <w:tblPr>
        <w:tblStyle w:val="TableGrid"/>
        <w:tblW w:w="9630" w:type="dxa"/>
        <w:tblInd w:w="-3" w:type="dxa"/>
        <w:tblCellMar>
          <w:top w:w="58" w:type="dxa"/>
          <w:left w:w="115" w:type="dxa"/>
          <w:bottom w:w="58" w:type="dxa"/>
          <w:right w:w="115" w:type="dxa"/>
        </w:tblCellMar>
        <w:tblLook w:val="04A0" w:firstRow="1" w:lastRow="0" w:firstColumn="1" w:lastColumn="0" w:noHBand="0" w:noVBand="1"/>
      </w:tblPr>
      <w:tblGrid>
        <w:gridCol w:w="2729"/>
        <w:gridCol w:w="52"/>
        <w:gridCol w:w="6849"/>
      </w:tblGrid>
      <w:tr w:rsidR="008412DB" w:rsidRPr="00753193" w14:paraId="144EB188" w14:textId="77777777" w:rsidTr="00111640">
        <w:tc>
          <w:tcPr>
            <w:tcW w:w="9630"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70D41C4D" w14:textId="77777777" w:rsidR="008412DB" w:rsidRPr="00753193" w:rsidRDefault="008412DB" w:rsidP="00CD68AB">
            <w:pPr>
              <w:contextualSpacing/>
              <w:jc w:val="center"/>
              <w:rPr>
                <w:rFonts w:asciiTheme="majorHAnsi" w:hAnsiTheme="majorHAnsi" w:cstheme="majorHAnsi"/>
                <w:b/>
              </w:rPr>
            </w:pPr>
            <w:r w:rsidRPr="00753193">
              <w:rPr>
                <w:rFonts w:asciiTheme="majorHAnsi" w:hAnsiTheme="majorHAnsi" w:cstheme="majorHAnsi"/>
                <w:b/>
              </w:rPr>
              <w:t>OVERVIEW</w:t>
            </w:r>
          </w:p>
        </w:tc>
      </w:tr>
      <w:tr w:rsidR="008412DB" w:rsidRPr="00753193" w14:paraId="35792BB5" w14:textId="77777777" w:rsidTr="00111640">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9FD761D" w14:textId="77777777" w:rsidR="008412DB" w:rsidRPr="00753193" w:rsidRDefault="008412DB" w:rsidP="00CD68AB">
            <w:pPr>
              <w:contextualSpacing/>
              <w:rPr>
                <w:rFonts w:asciiTheme="majorHAnsi" w:hAnsiTheme="majorHAnsi" w:cstheme="majorHAnsi"/>
              </w:rPr>
            </w:pPr>
            <w:r w:rsidRPr="00753193">
              <w:rPr>
                <w:rFonts w:asciiTheme="majorHAnsi" w:hAnsiTheme="majorHAnsi" w:cstheme="majorHAnsi"/>
              </w:rPr>
              <w:t>Senate Committee</w:t>
            </w:r>
          </w:p>
        </w:tc>
        <w:tc>
          <w:tcPr>
            <w:tcW w:w="6901" w:type="dxa"/>
            <w:gridSpan w:val="2"/>
            <w:tcBorders>
              <w:top w:val="single" w:sz="2" w:space="0" w:color="auto"/>
              <w:left w:val="single" w:sz="2" w:space="0" w:color="auto"/>
              <w:bottom w:val="single" w:sz="2" w:space="0" w:color="auto"/>
              <w:right w:val="single" w:sz="2" w:space="0" w:color="auto"/>
            </w:tcBorders>
          </w:tcPr>
          <w:p w14:paraId="5C5B4BD6" w14:textId="06813715" w:rsidR="00EF17AE" w:rsidRPr="00753193" w:rsidRDefault="008412DB" w:rsidP="00CD68AB">
            <w:pPr>
              <w:contextualSpacing/>
              <w:rPr>
                <w:rFonts w:asciiTheme="majorHAnsi" w:hAnsiTheme="majorHAnsi" w:cstheme="majorHAnsi"/>
              </w:rPr>
            </w:pPr>
            <w:r w:rsidRPr="00753193">
              <w:rPr>
                <w:rFonts w:asciiTheme="majorHAnsi" w:hAnsiTheme="majorHAnsi" w:cstheme="majorHAnsi"/>
              </w:rPr>
              <w:t xml:space="preserve">Commerce, Science and Transportation </w:t>
            </w:r>
          </w:p>
        </w:tc>
      </w:tr>
      <w:tr w:rsidR="008412DB" w:rsidRPr="00753193" w14:paraId="51172B8D" w14:textId="77777777" w:rsidTr="00111640">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48E85DD" w14:textId="77777777" w:rsidR="008412DB" w:rsidRPr="00753193" w:rsidRDefault="008412DB" w:rsidP="00CD68AB">
            <w:pPr>
              <w:contextualSpacing/>
              <w:rPr>
                <w:rFonts w:asciiTheme="majorHAnsi" w:hAnsiTheme="majorHAnsi" w:cstheme="majorHAnsi"/>
              </w:rPr>
            </w:pPr>
            <w:r w:rsidRPr="00753193">
              <w:rPr>
                <w:rFonts w:asciiTheme="majorHAnsi" w:hAnsiTheme="majorHAnsi" w:cstheme="majorHAnsi"/>
              </w:rPr>
              <w:t>Agency Mission</w:t>
            </w:r>
          </w:p>
        </w:tc>
        <w:tc>
          <w:tcPr>
            <w:tcW w:w="6901" w:type="dxa"/>
            <w:gridSpan w:val="2"/>
            <w:tcBorders>
              <w:top w:val="single" w:sz="2" w:space="0" w:color="auto"/>
              <w:left w:val="single" w:sz="2" w:space="0" w:color="auto"/>
              <w:bottom w:val="single" w:sz="2" w:space="0" w:color="auto"/>
              <w:right w:val="single" w:sz="2" w:space="0" w:color="auto"/>
            </w:tcBorders>
          </w:tcPr>
          <w:p w14:paraId="6AB23138" w14:textId="77777777" w:rsidR="008412DB" w:rsidRPr="00753193" w:rsidRDefault="008412DB" w:rsidP="00CD68AB">
            <w:pPr>
              <w:contextualSpacing/>
              <w:rPr>
                <w:rFonts w:asciiTheme="majorHAnsi" w:hAnsiTheme="majorHAnsi" w:cstheme="majorHAnsi"/>
                <w:bCs/>
              </w:rPr>
            </w:pPr>
            <w:r w:rsidRPr="00753193">
              <w:rPr>
                <w:rFonts w:asciiTheme="majorHAnsi" w:hAnsiTheme="majorHAnsi" w:cstheme="majorHAnsi"/>
                <w:bCs/>
                <w:lang w:val="en"/>
              </w:rPr>
              <w:t>The mission of the department is to create the conditions for economic growth and opportunity.</w:t>
            </w:r>
          </w:p>
        </w:tc>
      </w:tr>
      <w:tr w:rsidR="008412DB" w:rsidRPr="00753193" w14:paraId="68E1831D" w14:textId="77777777" w:rsidTr="00111640">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0EEA3E2" w14:textId="77777777" w:rsidR="008412DB" w:rsidRPr="00753193" w:rsidRDefault="008412DB" w:rsidP="00CD68AB">
            <w:pPr>
              <w:contextualSpacing/>
              <w:rPr>
                <w:rFonts w:asciiTheme="majorHAnsi" w:hAnsiTheme="majorHAnsi" w:cstheme="majorHAnsi"/>
              </w:rPr>
            </w:pPr>
            <w:r w:rsidRPr="00753193">
              <w:rPr>
                <w:rFonts w:asciiTheme="majorHAnsi" w:hAnsiTheme="majorHAnsi" w:cstheme="majorHAnsi"/>
              </w:rPr>
              <w:t>Position Overview</w:t>
            </w:r>
          </w:p>
        </w:tc>
        <w:tc>
          <w:tcPr>
            <w:tcW w:w="6901" w:type="dxa"/>
            <w:gridSpan w:val="2"/>
            <w:tcBorders>
              <w:top w:val="single" w:sz="2" w:space="0" w:color="auto"/>
              <w:left w:val="single" w:sz="2" w:space="0" w:color="auto"/>
              <w:bottom w:val="single" w:sz="2" w:space="0" w:color="auto"/>
              <w:right w:val="single" w:sz="2" w:space="0" w:color="auto"/>
            </w:tcBorders>
          </w:tcPr>
          <w:p w14:paraId="5E11B88B" w14:textId="77777777" w:rsidR="008412DB" w:rsidRPr="00753193" w:rsidRDefault="008412DB" w:rsidP="00CD68AB">
            <w:pPr>
              <w:contextualSpacing/>
              <w:rPr>
                <w:rFonts w:asciiTheme="majorHAnsi" w:hAnsiTheme="majorHAnsi" w:cstheme="majorHAnsi"/>
                <w:bCs/>
              </w:rPr>
            </w:pPr>
            <w:r w:rsidRPr="00753193">
              <w:rPr>
                <w:rFonts w:asciiTheme="majorHAnsi" w:hAnsiTheme="majorHAnsi" w:cstheme="majorHAnsi"/>
                <w:bCs/>
              </w:rPr>
              <w:t xml:space="preserve">The Chief Financial Officer and Assistant Secretary for Administration (CFO/ASA) oversees Commerce’s financial resources, human resources and facilities; establishes and monitors implementation of departmental policies and procedures for administrative functions affecting program operations in Commerce’s operating units; coordinates implementation of government-wide and departmental management initiatives. </w:t>
            </w:r>
          </w:p>
        </w:tc>
      </w:tr>
      <w:tr w:rsidR="008412DB" w:rsidRPr="00753193" w14:paraId="2EADDBD5" w14:textId="77777777" w:rsidTr="00111640">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E6FD3F1" w14:textId="77777777" w:rsidR="008412DB" w:rsidRPr="00753193" w:rsidRDefault="008412DB" w:rsidP="00CD68AB">
            <w:pPr>
              <w:contextualSpacing/>
              <w:rPr>
                <w:rFonts w:asciiTheme="majorHAnsi" w:hAnsiTheme="majorHAnsi" w:cstheme="majorHAnsi"/>
                <w:i/>
              </w:rPr>
            </w:pPr>
            <w:r w:rsidRPr="00753193">
              <w:rPr>
                <w:rFonts w:asciiTheme="majorHAnsi" w:hAnsiTheme="majorHAnsi" w:cstheme="majorHAnsi"/>
              </w:rPr>
              <w:t>Compensation</w:t>
            </w:r>
          </w:p>
        </w:tc>
        <w:tc>
          <w:tcPr>
            <w:tcW w:w="6901" w:type="dxa"/>
            <w:gridSpan w:val="2"/>
            <w:tcBorders>
              <w:top w:val="single" w:sz="2" w:space="0" w:color="auto"/>
              <w:left w:val="single" w:sz="2" w:space="0" w:color="auto"/>
              <w:bottom w:val="single" w:sz="2" w:space="0" w:color="auto"/>
              <w:right w:val="single" w:sz="2" w:space="0" w:color="auto"/>
            </w:tcBorders>
          </w:tcPr>
          <w:p w14:paraId="13228751" w14:textId="721E3768" w:rsidR="008412DB" w:rsidRPr="00753193" w:rsidRDefault="009D2593" w:rsidP="00B43D6C">
            <w:pPr>
              <w:contextualSpacing/>
              <w:rPr>
                <w:rFonts w:asciiTheme="majorHAnsi" w:hAnsiTheme="majorHAnsi" w:cstheme="majorHAnsi"/>
                <w:bCs/>
              </w:rPr>
            </w:pPr>
            <w:r w:rsidRPr="0CCAC821">
              <w:rPr>
                <w:rFonts w:asciiTheme="majorHAnsi" w:hAnsiTheme="majorHAnsi" w:cstheme="majorBidi"/>
              </w:rPr>
              <w:t>Level IV $</w:t>
            </w:r>
            <w:r w:rsidR="00855B3A" w:rsidRPr="00855B3A">
              <w:rPr>
                <w:rFonts w:asciiTheme="majorHAnsi" w:hAnsiTheme="majorHAnsi" w:cstheme="majorBidi"/>
              </w:rPr>
              <w:t>158,500</w:t>
            </w:r>
            <w:r w:rsidR="00855B3A" w:rsidRPr="00855B3A">
              <w:rPr>
                <w:rFonts w:asciiTheme="majorHAnsi" w:hAnsiTheme="majorHAnsi" w:cstheme="majorBidi"/>
              </w:rPr>
              <w:t xml:space="preserve"> </w:t>
            </w:r>
            <w:r w:rsidR="008412DB" w:rsidRPr="0CCAC821">
              <w:rPr>
                <w:rFonts w:asciiTheme="majorHAnsi" w:hAnsiTheme="majorHAnsi" w:cstheme="majorBidi"/>
              </w:rPr>
              <w:t>(</w:t>
            </w:r>
            <w:r w:rsidR="008412DB" w:rsidRPr="0CCAC821">
              <w:rPr>
                <w:rFonts w:asciiTheme="majorHAnsi" w:hAnsiTheme="majorHAnsi" w:cstheme="majorBidi"/>
                <w:lang w:val="en"/>
              </w:rPr>
              <w:t>5 U.S.C. § 5315)</w:t>
            </w:r>
            <w:r w:rsidRPr="0CCAC821">
              <w:rPr>
                <w:rStyle w:val="EndnoteReference"/>
                <w:rFonts w:asciiTheme="majorHAnsi" w:hAnsiTheme="majorHAnsi" w:cstheme="majorBidi"/>
                <w:lang w:val="en"/>
              </w:rPr>
              <w:endnoteReference w:id="1"/>
            </w:r>
          </w:p>
        </w:tc>
      </w:tr>
      <w:tr w:rsidR="008412DB" w:rsidRPr="00753193" w14:paraId="124EBCB1" w14:textId="77777777" w:rsidTr="00111640">
        <w:tc>
          <w:tcPr>
            <w:tcW w:w="272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ED75710" w14:textId="77777777" w:rsidR="008412DB" w:rsidRPr="00753193" w:rsidRDefault="008412DB" w:rsidP="00CD68AB">
            <w:pPr>
              <w:contextualSpacing/>
              <w:rPr>
                <w:rFonts w:asciiTheme="majorHAnsi" w:hAnsiTheme="majorHAnsi" w:cstheme="majorHAnsi"/>
              </w:rPr>
            </w:pPr>
            <w:r w:rsidRPr="00753193">
              <w:rPr>
                <w:rFonts w:asciiTheme="majorHAnsi" w:hAnsiTheme="majorHAnsi" w:cstheme="majorHAnsi"/>
              </w:rPr>
              <w:t>Position Reports to</w:t>
            </w:r>
          </w:p>
        </w:tc>
        <w:tc>
          <w:tcPr>
            <w:tcW w:w="6901" w:type="dxa"/>
            <w:gridSpan w:val="2"/>
            <w:tcBorders>
              <w:top w:val="single" w:sz="2" w:space="0" w:color="auto"/>
              <w:left w:val="single" w:sz="2" w:space="0" w:color="auto"/>
              <w:bottom w:val="single" w:sz="2" w:space="0" w:color="auto"/>
              <w:right w:val="single" w:sz="2" w:space="0" w:color="auto"/>
            </w:tcBorders>
          </w:tcPr>
          <w:p w14:paraId="0633F51B" w14:textId="77777777" w:rsidR="008412DB" w:rsidRPr="00753193" w:rsidRDefault="00EF17AE" w:rsidP="00CD68AB">
            <w:pPr>
              <w:contextualSpacing/>
              <w:rPr>
                <w:rFonts w:asciiTheme="majorHAnsi" w:hAnsiTheme="majorHAnsi" w:cstheme="majorHAnsi"/>
              </w:rPr>
            </w:pPr>
            <w:r w:rsidRPr="00753193">
              <w:rPr>
                <w:rFonts w:asciiTheme="majorHAnsi" w:hAnsiTheme="majorHAnsi" w:cstheme="majorHAnsi"/>
              </w:rPr>
              <w:t>Secretary of Commerce and Deputy S</w:t>
            </w:r>
            <w:r w:rsidR="008412DB" w:rsidRPr="00753193">
              <w:rPr>
                <w:rFonts w:asciiTheme="majorHAnsi" w:hAnsiTheme="majorHAnsi" w:cstheme="majorHAnsi"/>
              </w:rPr>
              <w:t xml:space="preserve">ecretary of Commerce </w:t>
            </w:r>
          </w:p>
        </w:tc>
      </w:tr>
      <w:tr w:rsidR="00684398" w:rsidRPr="00753193" w14:paraId="0FE29071" w14:textId="77777777" w:rsidTr="00111640">
        <w:tc>
          <w:tcPr>
            <w:tcW w:w="9630"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71A98865" w14:textId="77777777" w:rsidR="00684398" w:rsidRPr="00753193" w:rsidRDefault="00684398" w:rsidP="00684398">
            <w:pPr>
              <w:jc w:val="center"/>
              <w:rPr>
                <w:rFonts w:asciiTheme="majorHAnsi" w:hAnsiTheme="majorHAnsi" w:cstheme="majorHAnsi"/>
                <w:b/>
              </w:rPr>
            </w:pPr>
            <w:r w:rsidRPr="00753193">
              <w:rPr>
                <w:rFonts w:asciiTheme="majorHAnsi" w:hAnsiTheme="majorHAnsi" w:cstheme="majorHAnsi"/>
                <w:b/>
              </w:rPr>
              <w:t>RESPONSIBILITIES</w:t>
            </w:r>
          </w:p>
        </w:tc>
      </w:tr>
      <w:tr w:rsidR="0038078D" w:rsidRPr="00753193" w14:paraId="3B3172F9" w14:textId="77777777" w:rsidTr="00111640">
        <w:tc>
          <w:tcPr>
            <w:tcW w:w="278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1CBFB5F" w14:textId="77777777" w:rsidR="0038078D" w:rsidRPr="00753193" w:rsidRDefault="0038078D" w:rsidP="0038078D">
            <w:pPr>
              <w:contextualSpacing/>
              <w:rPr>
                <w:rFonts w:asciiTheme="majorHAnsi" w:hAnsiTheme="majorHAnsi" w:cstheme="majorHAnsi"/>
              </w:rPr>
            </w:pPr>
            <w:r w:rsidRPr="00753193">
              <w:rPr>
                <w:rFonts w:asciiTheme="majorHAnsi" w:hAnsiTheme="majorHAnsi" w:cstheme="majorHAnsi"/>
              </w:rPr>
              <w:t>Management Scope</w:t>
            </w:r>
          </w:p>
        </w:tc>
        <w:tc>
          <w:tcPr>
            <w:tcW w:w="6849" w:type="dxa"/>
            <w:tcBorders>
              <w:top w:val="single" w:sz="2" w:space="0" w:color="auto"/>
              <w:left w:val="single" w:sz="2" w:space="0" w:color="auto"/>
              <w:bottom w:val="single" w:sz="2" w:space="0" w:color="auto"/>
              <w:right w:val="single" w:sz="2" w:space="0" w:color="auto"/>
            </w:tcBorders>
          </w:tcPr>
          <w:p w14:paraId="09772775" w14:textId="3436AC53" w:rsidR="0038078D" w:rsidRPr="00753193" w:rsidRDefault="00EF17AE" w:rsidP="0038078D">
            <w:pPr>
              <w:contextualSpacing/>
              <w:rPr>
                <w:rFonts w:asciiTheme="majorHAnsi" w:hAnsiTheme="majorHAnsi" w:cstheme="majorHAnsi"/>
                <w:bCs/>
              </w:rPr>
            </w:pPr>
            <w:r w:rsidRPr="00753193">
              <w:rPr>
                <w:rFonts w:asciiTheme="majorHAnsi" w:hAnsiTheme="majorHAnsi" w:cstheme="majorHAnsi"/>
                <w:bCs/>
              </w:rPr>
              <w:t>In fiscal 20</w:t>
            </w:r>
            <w:r w:rsidR="00175A02">
              <w:rPr>
                <w:rFonts w:asciiTheme="majorHAnsi" w:hAnsiTheme="majorHAnsi" w:cstheme="majorHAnsi"/>
                <w:bCs/>
              </w:rPr>
              <w:t>20</w:t>
            </w:r>
            <w:r w:rsidRPr="00753193">
              <w:rPr>
                <w:rFonts w:asciiTheme="majorHAnsi" w:hAnsiTheme="majorHAnsi" w:cstheme="majorHAnsi"/>
                <w:bCs/>
              </w:rPr>
              <w:t>, the Department of Commerce had a budget of $</w:t>
            </w:r>
            <w:r w:rsidR="00EB6E68">
              <w:rPr>
                <w:rFonts w:asciiTheme="majorHAnsi" w:hAnsiTheme="majorHAnsi" w:cstheme="majorHAnsi"/>
                <w:bCs/>
              </w:rPr>
              <w:t>12,635</w:t>
            </w:r>
            <w:r w:rsidRPr="00753193">
              <w:rPr>
                <w:rFonts w:asciiTheme="majorHAnsi" w:hAnsiTheme="majorHAnsi" w:cstheme="majorHAnsi"/>
                <w:bCs/>
              </w:rPr>
              <w:t xml:space="preserve"> million in outlays and 3</w:t>
            </w:r>
            <w:r w:rsidR="00CD68AB">
              <w:rPr>
                <w:rFonts w:asciiTheme="majorHAnsi" w:hAnsiTheme="majorHAnsi" w:cstheme="majorHAnsi"/>
                <w:bCs/>
              </w:rPr>
              <w:t>75,946</w:t>
            </w:r>
            <w:r w:rsidRPr="00753193">
              <w:rPr>
                <w:rFonts w:asciiTheme="majorHAnsi" w:hAnsiTheme="majorHAnsi" w:cstheme="majorHAnsi"/>
                <w:bCs/>
              </w:rPr>
              <w:t xml:space="preserve"> total employment. The following offices fall within OCFO/ASA: The Office of the Security, the Office of Human Resources Management, the Office of Civil Rights, the Office of Financial Management, the Office of Facility and Environmental Quality, the Office of Acquisition Management, the Office of Program Evaluation and Risk Management, the Office of Privacy and Open Government and the Office of Budget.</w:t>
            </w:r>
          </w:p>
        </w:tc>
      </w:tr>
      <w:tr w:rsidR="0038078D" w:rsidRPr="00753193" w14:paraId="1EFA511E" w14:textId="77777777" w:rsidTr="00111640">
        <w:tc>
          <w:tcPr>
            <w:tcW w:w="278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3147F27" w14:textId="77777777" w:rsidR="0038078D" w:rsidRPr="00753193" w:rsidRDefault="0038078D" w:rsidP="0038078D">
            <w:pPr>
              <w:contextualSpacing/>
              <w:rPr>
                <w:rFonts w:asciiTheme="majorHAnsi" w:hAnsiTheme="majorHAnsi" w:cstheme="majorHAnsi"/>
              </w:rPr>
            </w:pPr>
            <w:r w:rsidRPr="00753193">
              <w:rPr>
                <w:rFonts w:asciiTheme="majorHAnsi" w:hAnsiTheme="majorHAnsi" w:cstheme="majorHAnsi"/>
              </w:rPr>
              <w:t>Primary Responsibilities</w:t>
            </w:r>
          </w:p>
        </w:tc>
        <w:tc>
          <w:tcPr>
            <w:tcW w:w="6849" w:type="dxa"/>
            <w:tcBorders>
              <w:top w:val="single" w:sz="2" w:space="0" w:color="auto"/>
              <w:left w:val="single" w:sz="2" w:space="0" w:color="auto"/>
              <w:bottom w:val="single" w:sz="2" w:space="0" w:color="auto"/>
              <w:right w:val="single" w:sz="2" w:space="0" w:color="auto"/>
            </w:tcBorders>
          </w:tcPr>
          <w:p w14:paraId="745F01BC" w14:textId="77777777" w:rsidR="00EF17AE" w:rsidRPr="00753193" w:rsidRDefault="00EF17AE" w:rsidP="00753193">
            <w:pPr>
              <w:numPr>
                <w:ilvl w:val="0"/>
                <w:numId w:val="42"/>
              </w:numPr>
              <w:ind w:left="432"/>
              <w:contextualSpacing/>
              <w:rPr>
                <w:rFonts w:asciiTheme="majorHAnsi" w:eastAsia="Calibri" w:hAnsiTheme="majorHAnsi" w:cstheme="majorHAnsi"/>
              </w:rPr>
            </w:pPr>
            <w:r w:rsidRPr="00753193">
              <w:rPr>
                <w:rFonts w:asciiTheme="majorHAnsi" w:eastAsia="Calibri" w:hAnsiTheme="majorHAnsi" w:cstheme="majorHAnsi"/>
              </w:rPr>
              <w:t xml:space="preserve">The CFO/ASA oversees the establishment and execution of departmental policies and procedures for administrative functions affecting program operations in Commerce’s operating units. The CFO/ASA is responsible for ensuring these administrative functions are performed in accordance with all applicable laws and regulations, support the efficient and effective delivery of program outcomes and are delivered at the highest customer service standards. These administrative functions include: </w:t>
            </w:r>
          </w:p>
          <w:p w14:paraId="7BD29230" w14:textId="2E38816D"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Developing and maintaining integrated accounting and financial management systems</w:t>
            </w:r>
            <w:r w:rsidR="00E67A3B">
              <w:rPr>
                <w:rFonts w:asciiTheme="majorHAnsi" w:eastAsia="Calibri" w:hAnsiTheme="majorHAnsi" w:cstheme="majorHAnsi"/>
              </w:rPr>
              <w:t>.</w:t>
            </w:r>
          </w:p>
          <w:p w14:paraId="583F363E" w14:textId="684CA03B"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 xml:space="preserve">Developing budgets that support all agency </w:t>
            </w:r>
            <w:r w:rsidR="00690D44" w:rsidRPr="00753193">
              <w:rPr>
                <w:rFonts w:asciiTheme="majorHAnsi" w:eastAsia="Calibri" w:hAnsiTheme="majorHAnsi" w:cstheme="majorHAnsi"/>
              </w:rPr>
              <w:t>missions.</w:t>
            </w:r>
          </w:p>
          <w:p w14:paraId="0C10DDA4" w14:textId="48CA0AA3"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Managing the financial execution of the agency budget and actual expenditures</w:t>
            </w:r>
            <w:r w:rsidR="00E67A3B">
              <w:rPr>
                <w:rFonts w:asciiTheme="majorHAnsi" w:eastAsia="Calibri" w:hAnsiTheme="majorHAnsi" w:cstheme="majorHAnsi"/>
              </w:rPr>
              <w:t>.</w:t>
            </w:r>
          </w:p>
          <w:p w14:paraId="7E138C61" w14:textId="7F0CEEF7"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Overseeing the recruitment, selection and training of personnel to carry out agency financial management functions, as well as managing, training and providing policy guidance and oversight of these personnel and their activities</w:t>
            </w:r>
            <w:r w:rsidR="00E67A3B">
              <w:rPr>
                <w:rFonts w:asciiTheme="majorHAnsi" w:eastAsia="Calibri" w:hAnsiTheme="majorHAnsi" w:cstheme="majorHAnsi"/>
              </w:rPr>
              <w:t>.</w:t>
            </w:r>
          </w:p>
          <w:p w14:paraId="4EFD6118" w14:textId="54420B5D"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lastRenderedPageBreak/>
              <w:t>Implementing agency asset management systems, including systems for cash management, credit management, debt collection and property and inventory management and control</w:t>
            </w:r>
            <w:r w:rsidR="00E67A3B">
              <w:rPr>
                <w:rFonts w:asciiTheme="majorHAnsi" w:eastAsia="Calibri" w:hAnsiTheme="majorHAnsi" w:cstheme="majorHAnsi"/>
              </w:rPr>
              <w:t>.</w:t>
            </w:r>
          </w:p>
          <w:p w14:paraId="6982B94C" w14:textId="04BAD5BE"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Providing financial and performance reports to staff, overseers and stakeholders</w:t>
            </w:r>
            <w:r w:rsidR="00E67A3B">
              <w:rPr>
                <w:rFonts w:asciiTheme="majorHAnsi" w:eastAsia="Calibri" w:hAnsiTheme="majorHAnsi" w:cstheme="majorHAnsi"/>
              </w:rPr>
              <w:t>.</w:t>
            </w:r>
          </w:p>
          <w:p w14:paraId="570B81CF" w14:textId="0EA67D2B"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Tying the budget and performance to outcomes</w:t>
            </w:r>
            <w:r w:rsidR="00E67A3B">
              <w:rPr>
                <w:rFonts w:asciiTheme="majorHAnsi" w:eastAsia="Calibri" w:hAnsiTheme="majorHAnsi" w:cstheme="majorHAnsi"/>
              </w:rPr>
              <w:t>.</w:t>
            </w:r>
          </w:p>
          <w:p w14:paraId="6F7FBCEF" w14:textId="779AFA35"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Taking the lead role in enterprise risk management</w:t>
            </w:r>
            <w:r w:rsidR="00E67A3B">
              <w:rPr>
                <w:rFonts w:asciiTheme="majorHAnsi" w:eastAsia="Calibri" w:hAnsiTheme="majorHAnsi" w:cstheme="majorHAnsi"/>
              </w:rPr>
              <w:t>.</w:t>
            </w:r>
          </w:p>
          <w:p w14:paraId="12801BC1" w14:textId="241C955E"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Procurement and small business utilization</w:t>
            </w:r>
            <w:r w:rsidR="00E67A3B">
              <w:rPr>
                <w:rFonts w:asciiTheme="majorHAnsi" w:eastAsia="Calibri" w:hAnsiTheme="majorHAnsi" w:cstheme="majorHAnsi"/>
              </w:rPr>
              <w:t>.</w:t>
            </w:r>
          </w:p>
          <w:p w14:paraId="57B58990" w14:textId="0F7DB2E6"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Grants management</w:t>
            </w:r>
            <w:r w:rsidR="00E67A3B">
              <w:rPr>
                <w:rFonts w:asciiTheme="majorHAnsi" w:eastAsia="Calibri" w:hAnsiTheme="majorHAnsi" w:cstheme="majorHAnsi"/>
              </w:rPr>
              <w:t>.</w:t>
            </w:r>
          </w:p>
          <w:p w14:paraId="6A6B39F8" w14:textId="6444EDE8"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Travel and transportation</w:t>
            </w:r>
            <w:r w:rsidR="00E67A3B">
              <w:rPr>
                <w:rFonts w:asciiTheme="majorHAnsi" w:eastAsia="Calibri" w:hAnsiTheme="majorHAnsi" w:cstheme="majorHAnsi"/>
              </w:rPr>
              <w:t>.</w:t>
            </w:r>
          </w:p>
          <w:p w14:paraId="2E9BC513" w14:textId="4367BAA4"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Real property and facilities management</w:t>
            </w:r>
            <w:r w:rsidR="00E67A3B">
              <w:rPr>
                <w:rFonts w:asciiTheme="majorHAnsi" w:eastAsia="Calibri" w:hAnsiTheme="majorHAnsi" w:cstheme="majorHAnsi"/>
              </w:rPr>
              <w:t>.</w:t>
            </w:r>
          </w:p>
          <w:p w14:paraId="28E4258C" w14:textId="7D700BDA" w:rsidR="00894EC9" w:rsidRPr="00753193" w:rsidRDefault="00EF17AE" w:rsidP="00753193">
            <w:pPr>
              <w:numPr>
                <w:ilvl w:val="1"/>
                <w:numId w:val="42"/>
              </w:numPr>
              <w:ind w:left="720"/>
              <w:contextualSpacing/>
              <w:rPr>
                <w:rFonts w:asciiTheme="majorHAnsi" w:eastAsia="Calibri" w:hAnsiTheme="majorHAnsi" w:cstheme="majorHAnsi"/>
              </w:rPr>
            </w:pPr>
            <w:r w:rsidRPr="00753193">
              <w:rPr>
                <w:rFonts w:asciiTheme="majorHAnsi" w:eastAsia="Calibri" w:hAnsiTheme="majorHAnsi" w:cstheme="majorHAnsi"/>
              </w:rPr>
              <w:t>Directives management</w:t>
            </w:r>
            <w:r w:rsidR="00E67A3B">
              <w:rPr>
                <w:rFonts w:asciiTheme="majorHAnsi" w:eastAsia="Calibri" w:hAnsiTheme="majorHAnsi" w:cstheme="majorHAnsi"/>
              </w:rPr>
              <w:t>.</w:t>
            </w:r>
          </w:p>
          <w:p w14:paraId="538135D0" w14:textId="4E83A813" w:rsidR="0038078D" w:rsidRPr="00753193" w:rsidRDefault="00EF17AE" w:rsidP="00B961F7">
            <w:pPr>
              <w:numPr>
                <w:ilvl w:val="1"/>
                <w:numId w:val="42"/>
              </w:numPr>
              <w:ind w:left="720" w:right="-174"/>
              <w:contextualSpacing/>
              <w:rPr>
                <w:rFonts w:asciiTheme="majorHAnsi" w:eastAsia="Calibri" w:hAnsiTheme="majorHAnsi" w:cstheme="majorHAnsi"/>
              </w:rPr>
            </w:pPr>
            <w:r w:rsidRPr="00753193">
              <w:rPr>
                <w:rFonts w:asciiTheme="majorHAnsi" w:eastAsia="Calibri" w:hAnsiTheme="majorHAnsi" w:cstheme="majorHAnsi"/>
              </w:rPr>
              <w:t>Security</w:t>
            </w:r>
            <w:r w:rsidR="00E67A3B">
              <w:rPr>
                <w:rFonts w:asciiTheme="majorHAnsi" w:eastAsia="Calibri" w:hAnsiTheme="majorHAnsi" w:cstheme="majorHAnsi"/>
              </w:rPr>
              <w:t>.</w:t>
            </w:r>
          </w:p>
        </w:tc>
      </w:tr>
      <w:tr w:rsidR="0038078D" w:rsidRPr="00753193" w14:paraId="407634BB" w14:textId="77777777" w:rsidTr="00111640">
        <w:tc>
          <w:tcPr>
            <w:tcW w:w="278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406BC9A" w14:textId="77777777" w:rsidR="0038078D" w:rsidRPr="00753193" w:rsidRDefault="0038078D" w:rsidP="0038078D">
            <w:pPr>
              <w:contextualSpacing/>
              <w:rPr>
                <w:rFonts w:asciiTheme="majorHAnsi" w:hAnsiTheme="majorHAnsi" w:cstheme="majorHAnsi"/>
              </w:rPr>
            </w:pPr>
            <w:r w:rsidRPr="00753193">
              <w:rPr>
                <w:rFonts w:asciiTheme="majorHAnsi" w:hAnsiTheme="majorHAnsi" w:cstheme="majorHAnsi"/>
              </w:rPr>
              <w:lastRenderedPageBreak/>
              <w:t>Strategic Goals and Priorities</w:t>
            </w:r>
          </w:p>
        </w:tc>
        <w:tc>
          <w:tcPr>
            <w:tcW w:w="6849" w:type="dxa"/>
            <w:tcBorders>
              <w:top w:val="single" w:sz="2" w:space="0" w:color="auto"/>
              <w:left w:val="single" w:sz="2" w:space="0" w:color="auto"/>
              <w:bottom w:val="single" w:sz="2" w:space="0" w:color="auto"/>
              <w:right w:val="single" w:sz="2" w:space="0" w:color="auto"/>
            </w:tcBorders>
            <w:vAlign w:val="center"/>
          </w:tcPr>
          <w:p w14:paraId="7391EE77" w14:textId="095E1CEE" w:rsidR="0038078D" w:rsidRPr="00753193" w:rsidRDefault="006C44E6" w:rsidP="006C44E6">
            <w:pPr>
              <w:contextualSpacing/>
              <w:jc w:val="center"/>
              <w:rPr>
                <w:rFonts w:asciiTheme="majorHAnsi" w:hAnsiTheme="majorHAnsi" w:cstheme="majorHAnsi"/>
              </w:rPr>
            </w:pPr>
            <w:r>
              <w:rPr>
                <w:rFonts w:asciiTheme="majorHAnsi" w:hAnsiTheme="majorHAnsi" w:cstheme="majorHAnsi"/>
              </w:rPr>
              <w:t>[</w:t>
            </w:r>
            <w:r w:rsidR="0038078D" w:rsidRPr="00753193">
              <w:rPr>
                <w:rFonts w:asciiTheme="majorHAnsi" w:hAnsiTheme="majorHAnsi" w:cstheme="majorHAnsi"/>
              </w:rPr>
              <w:t>Depends on the policy priorities of the administration</w:t>
            </w:r>
            <w:r>
              <w:rPr>
                <w:rFonts w:asciiTheme="majorHAnsi" w:hAnsiTheme="majorHAnsi" w:cstheme="majorHAnsi"/>
              </w:rPr>
              <w:t>.]</w:t>
            </w:r>
          </w:p>
        </w:tc>
      </w:tr>
      <w:tr w:rsidR="00684398" w:rsidRPr="00753193" w14:paraId="35E06528" w14:textId="77777777" w:rsidTr="00111640">
        <w:tc>
          <w:tcPr>
            <w:tcW w:w="9630"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11D1BA2F" w14:textId="77777777" w:rsidR="00684398" w:rsidRPr="00753193" w:rsidRDefault="00684398" w:rsidP="00684398">
            <w:pPr>
              <w:jc w:val="center"/>
              <w:rPr>
                <w:rFonts w:asciiTheme="majorHAnsi" w:hAnsiTheme="majorHAnsi" w:cstheme="majorHAnsi"/>
                <w:b/>
              </w:rPr>
            </w:pPr>
            <w:r w:rsidRPr="00753193">
              <w:rPr>
                <w:rFonts w:asciiTheme="majorHAnsi" w:hAnsiTheme="majorHAnsi" w:cstheme="majorHAnsi"/>
                <w:b/>
              </w:rPr>
              <w:t>REQUIREMENTS AND COMPETENCIES</w:t>
            </w:r>
          </w:p>
        </w:tc>
      </w:tr>
      <w:tr w:rsidR="008412DB" w:rsidRPr="00753193" w14:paraId="1D00881A" w14:textId="77777777" w:rsidTr="00111640">
        <w:tc>
          <w:tcPr>
            <w:tcW w:w="278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957F54" w14:textId="77777777" w:rsidR="008412DB" w:rsidRPr="00753193" w:rsidRDefault="008412DB" w:rsidP="008412DB">
            <w:pPr>
              <w:contextualSpacing/>
              <w:rPr>
                <w:rFonts w:asciiTheme="majorHAnsi" w:hAnsiTheme="majorHAnsi" w:cstheme="majorHAnsi"/>
              </w:rPr>
            </w:pPr>
            <w:r w:rsidRPr="00753193">
              <w:rPr>
                <w:rFonts w:asciiTheme="majorHAnsi" w:hAnsiTheme="majorHAnsi" w:cstheme="majorHAnsi"/>
              </w:rPr>
              <w:t>Requirements</w:t>
            </w:r>
          </w:p>
        </w:tc>
        <w:tc>
          <w:tcPr>
            <w:tcW w:w="6849" w:type="dxa"/>
            <w:tcBorders>
              <w:top w:val="single" w:sz="2" w:space="0" w:color="auto"/>
              <w:left w:val="single" w:sz="2" w:space="0" w:color="auto"/>
              <w:bottom w:val="single" w:sz="2" w:space="0" w:color="auto"/>
              <w:right w:val="single" w:sz="2" w:space="0" w:color="auto"/>
            </w:tcBorders>
          </w:tcPr>
          <w:p w14:paraId="0E42A484" w14:textId="6C6E2812" w:rsidR="008412DB" w:rsidRPr="00753193" w:rsidRDefault="008412DB" w:rsidP="0CCAC821">
            <w:pPr>
              <w:numPr>
                <w:ilvl w:val="0"/>
                <w:numId w:val="43"/>
              </w:numPr>
              <w:contextualSpacing/>
              <w:rPr>
                <w:rFonts w:asciiTheme="majorHAnsi" w:hAnsiTheme="majorHAnsi" w:cstheme="majorBidi"/>
              </w:rPr>
            </w:pPr>
            <w:r w:rsidRPr="0CCAC821">
              <w:rPr>
                <w:rFonts w:asciiTheme="majorHAnsi" w:hAnsiTheme="majorHAnsi" w:cstheme="majorBidi"/>
              </w:rPr>
              <w:t>Strong background in federal financial management</w:t>
            </w:r>
            <w:r w:rsidR="03B6F031" w:rsidRPr="0CCAC821">
              <w:rPr>
                <w:rFonts w:asciiTheme="majorHAnsi" w:hAnsiTheme="majorHAnsi" w:cstheme="majorBidi"/>
              </w:rPr>
              <w:t>.</w:t>
            </w:r>
          </w:p>
          <w:p w14:paraId="2DAE1E1E" w14:textId="00C7BECF" w:rsidR="008412DB" w:rsidRPr="00753193" w:rsidRDefault="008412DB" w:rsidP="0CCAC821">
            <w:pPr>
              <w:numPr>
                <w:ilvl w:val="0"/>
                <w:numId w:val="43"/>
              </w:numPr>
              <w:contextualSpacing/>
              <w:rPr>
                <w:rFonts w:asciiTheme="majorHAnsi" w:hAnsiTheme="majorHAnsi" w:cstheme="majorBidi"/>
              </w:rPr>
            </w:pPr>
            <w:r w:rsidRPr="0CCAC821">
              <w:rPr>
                <w:rFonts w:asciiTheme="majorHAnsi" w:hAnsiTheme="majorHAnsi" w:cstheme="majorBidi"/>
              </w:rPr>
              <w:t>Executive leadership experience</w:t>
            </w:r>
            <w:r w:rsidR="03B6F031" w:rsidRPr="0CCAC821">
              <w:rPr>
                <w:rFonts w:asciiTheme="majorHAnsi" w:hAnsiTheme="majorHAnsi" w:cstheme="majorBidi"/>
              </w:rPr>
              <w:t>.</w:t>
            </w:r>
          </w:p>
          <w:p w14:paraId="0BC6274A" w14:textId="6D713E7E" w:rsidR="008412DB" w:rsidRPr="00753193" w:rsidRDefault="008412DB" w:rsidP="0CCAC821">
            <w:pPr>
              <w:numPr>
                <w:ilvl w:val="0"/>
                <w:numId w:val="43"/>
              </w:numPr>
              <w:contextualSpacing/>
              <w:rPr>
                <w:rFonts w:asciiTheme="majorHAnsi" w:hAnsiTheme="majorHAnsi" w:cstheme="majorBidi"/>
              </w:rPr>
            </w:pPr>
            <w:r w:rsidRPr="0CCAC821">
              <w:rPr>
                <w:rFonts w:asciiTheme="majorHAnsi" w:hAnsiTheme="majorHAnsi" w:cstheme="majorBidi"/>
              </w:rPr>
              <w:t>Experience working in a large organization</w:t>
            </w:r>
            <w:r w:rsidR="450B92A7" w:rsidRPr="0CCAC821">
              <w:rPr>
                <w:rFonts w:asciiTheme="majorHAnsi" w:hAnsiTheme="majorHAnsi" w:cstheme="majorBidi"/>
              </w:rPr>
              <w:t>.</w:t>
            </w:r>
          </w:p>
          <w:p w14:paraId="4BDDF2D0" w14:textId="138C6476" w:rsidR="008412DB" w:rsidRPr="00753193" w:rsidRDefault="008412DB" w:rsidP="0CCAC821">
            <w:pPr>
              <w:numPr>
                <w:ilvl w:val="0"/>
                <w:numId w:val="43"/>
              </w:numPr>
              <w:contextualSpacing/>
              <w:rPr>
                <w:rFonts w:asciiTheme="majorHAnsi" w:hAnsiTheme="majorHAnsi" w:cstheme="majorBidi"/>
              </w:rPr>
            </w:pPr>
            <w:r w:rsidRPr="0CCAC821">
              <w:rPr>
                <w:rFonts w:asciiTheme="majorHAnsi" w:hAnsiTheme="majorHAnsi" w:cstheme="majorBidi"/>
              </w:rPr>
              <w:t>Risk management experience</w:t>
            </w:r>
            <w:r w:rsidR="07C4CD11" w:rsidRPr="0CCAC821">
              <w:rPr>
                <w:rFonts w:asciiTheme="majorHAnsi" w:hAnsiTheme="majorHAnsi" w:cstheme="majorBidi"/>
              </w:rPr>
              <w:t>.</w:t>
            </w:r>
          </w:p>
          <w:p w14:paraId="1CB8E07E" w14:textId="2EA887BA" w:rsidR="008412DB" w:rsidRPr="00753193" w:rsidRDefault="008412DB" w:rsidP="0CCAC821">
            <w:pPr>
              <w:numPr>
                <w:ilvl w:val="0"/>
                <w:numId w:val="43"/>
              </w:numPr>
              <w:contextualSpacing/>
              <w:rPr>
                <w:rFonts w:asciiTheme="majorHAnsi" w:hAnsiTheme="majorHAnsi" w:cstheme="majorBidi"/>
              </w:rPr>
            </w:pPr>
            <w:r w:rsidRPr="0CCAC821">
              <w:rPr>
                <w:rFonts w:asciiTheme="majorHAnsi" w:hAnsiTheme="majorHAnsi" w:cstheme="majorBidi"/>
              </w:rPr>
              <w:t>Knowledge of the department’s functions and policies</w:t>
            </w:r>
            <w:r w:rsidR="7F5F4897" w:rsidRPr="0CCAC821">
              <w:rPr>
                <w:rFonts w:asciiTheme="majorHAnsi" w:hAnsiTheme="majorHAnsi" w:cstheme="majorBidi"/>
              </w:rPr>
              <w:t>.</w:t>
            </w:r>
          </w:p>
          <w:p w14:paraId="7B890DD3" w14:textId="4A93AA37" w:rsidR="008412DB" w:rsidRPr="00753193" w:rsidRDefault="008412DB" w:rsidP="0CCAC821">
            <w:pPr>
              <w:numPr>
                <w:ilvl w:val="0"/>
                <w:numId w:val="43"/>
              </w:numPr>
              <w:contextualSpacing/>
              <w:rPr>
                <w:rFonts w:asciiTheme="majorHAnsi" w:hAnsiTheme="majorHAnsi" w:cstheme="majorBidi"/>
              </w:rPr>
            </w:pPr>
            <w:r w:rsidRPr="0CCAC821">
              <w:rPr>
                <w:rFonts w:asciiTheme="majorHAnsi" w:hAnsiTheme="majorHAnsi" w:cstheme="majorBidi"/>
              </w:rPr>
              <w:t>Knowledge of federal budget formulation</w:t>
            </w:r>
            <w:r w:rsidR="7F5F4897" w:rsidRPr="0CCAC821">
              <w:rPr>
                <w:rFonts w:asciiTheme="majorHAnsi" w:hAnsiTheme="majorHAnsi" w:cstheme="majorBidi"/>
              </w:rPr>
              <w:t>.</w:t>
            </w:r>
          </w:p>
          <w:p w14:paraId="53E43F81" w14:textId="1B423F39" w:rsidR="008412DB" w:rsidRPr="00753193" w:rsidRDefault="008412DB" w:rsidP="0CCAC821">
            <w:pPr>
              <w:numPr>
                <w:ilvl w:val="0"/>
                <w:numId w:val="43"/>
              </w:numPr>
              <w:contextualSpacing/>
              <w:rPr>
                <w:rFonts w:asciiTheme="majorHAnsi" w:hAnsiTheme="majorHAnsi" w:cstheme="majorBidi"/>
              </w:rPr>
            </w:pPr>
            <w:r w:rsidRPr="0CCAC821">
              <w:rPr>
                <w:rFonts w:asciiTheme="majorHAnsi" w:hAnsiTheme="majorHAnsi" w:cstheme="majorBidi"/>
              </w:rPr>
              <w:t>Familiarity with cyber technology a plus</w:t>
            </w:r>
            <w:r w:rsidR="1436AD7A" w:rsidRPr="0CCAC821">
              <w:rPr>
                <w:rFonts w:asciiTheme="majorHAnsi" w:hAnsiTheme="majorHAnsi" w:cstheme="majorBidi"/>
              </w:rPr>
              <w:t>.</w:t>
            </w:r>
          </w:p>
          <w:p w14:paraId="76650868" w14:textId="012ED44C" w:rsidR="008412DB" w:rsidRPr="00753193" w:rsidRDefault="008412DB" w:rsidP="0CCAC821">
            <w:pPr>
              <w:numPr>
                <w:ilvl w:val="0"/>
                <w:numId w:val="43"/>
              </w:numPr>
              <w:contextualSpacing/>
              <w:rPr>
                <w:rFonts w:asciiTheme="majorHAnsi" w:hAnsiTheme="majorHAnsi" w:cstheme="majorBidi"/>
              </w:rPr>
            </w:pPr>
            <w:r w:rsidRPr="0CCAC821">
              <w:rPr>
                <w:rFonts w:asciiTheme="majorHAnsi" w:hAnsiTheme="majorHAnsi" w:cstheme="majorBidi"/>
              </w:rPr>
              <w:t>Background in data analytics a plus</w:t>
            </w:r>
            <w:r w:rsidR="1436AD7A" w:rsidRPr="0CCAC821">
              <w:rPr>
                <w:rFonts w:asciiTheme="majorHAnsi" w:hAnsiTheme="majorHAnsi" w:cstheme="majorBidi"/>
              </w:rPr>
              <w:t>.</w:t>
            </w:r>
          </w:p>
        </w:tc>
      </w:tr>
      <w:tr w:rsidR="008412DB" w:rsidRPr="00753193" w14:paraId="6355C0A6" w14:textId="77777777" w:rsidTr="00111640">
        <w:tc>
          <w:tcPr>
            <w:tcW w:w="278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8720CE9" w14:textId="77777777" w:rsidR="008412DB" w:rsidRPr="00753193" w:rsidRDefault="008412DB" w:rsidP="008412DB">
            <w:pPr>
              <w:contextualSpacing/>
              <w:rPr>
                <w:rFonts w:asciiTheme="majorHAnsi" w:hAnsiTheme="majorHAnsi" w:cstheme="majorHAnsi"/>
              </w:rPr>
            </w:pPr>
            <w:r w:rsidRPr="00753193">
              <w:rPr>
                <w:rFonts w:asciiTheme="majorHAnsi" w:hAnsiTheme="majorHAnsi" w:cstheme="majorHAnsi"/>
              </w:rPr>
              <w:t>Competencies</w:t>
            </w:r>
          </w:p>
        </w:tc>
        <w:tc>
          <w:tcPr>
            <w:tcW w:w="6849" w:type="dxa"/>
            <w:tcBorders>
              <w:top w:val="single" w:sz="2" w:space="0" w:color="auto"/>
              <w:left w:val="single" w:sz="2" w:space="0" w:color="auto"/>
              <w:bottom w:val="single" w:sz="2" w:space="0" w:color="auto"/>
              <w:right w:val="single" w:sz="2" w:space="0" w:color="auto"/>
            </w:tcBorders>
          </w:tcPr>
          <w:p w14:paraId="0A661AB8" w14:textId="3E64522E" w:rsidR="008412DB" w:rsidRPr="00753193" w:rsidRDefault="008412DB" w:rsidP="008412DB">
            <w:pPr>
              <w:numPr>
                <w:ilvl w:val="0"/>
                <w:numId w:val="43"/>
              </w:numPr>
              <w:contextualSpacing/>
              <w:rPr>
                <w:rFonts w:asciiTheme="majorHAnsi" w:hAnsiTheme="majorHAnsi" w:cstheme="majorHAnsi"/>
              </w:rPr>
            </w:pPr>
            <w:r w:rsidRPr="00753193">
              <w:rPr>
                <w:rFonts w:asciiTheme="majorHAnsi" w:hAnsiTheme="majorHAnsi" w:cstheme="majorHAnsi"/>
              </w:rPr>
              <w:t>Ability to collaborate with the chief information officers, under/assistant secretaries for administration/management, as well as other CFOs and OMB via the CFO Council</w:t>
            </w:r>
            <w:r w:rsidR="00524296">
              <w:rPr>
                <w:rFonts w:asciiTheme="majorHAnsi" w:hAnsiTheme="majorHAnsi" w:cstheme="majorHAnsi"/>
              </w:rPr>
              <w:t>.</w:t>
            </w:r>
          </w:p>
          <w:p w14:paraId="0A1BB0AE" w14:textId="29B17273" w:rsidR="008412DB" w:rsidRPr="00753193" w:rsidRDefault="008412DB" w:rsidP="008412DB">
            <w:pPr>
              <w:numPr>
                <w:ilvl w:val="0"/>
                <w:numId w:val="43"/>
              </w:numPr>
              <w:contextualSpacing/>
              <w:rPr>
                <w:rFonts w:asciiTheme="majorHAnsi" w:hAnsiTheme="majorHAnsi" w:cstheme="majorHAnsi"/>
              </w:rPr>
            </w:pPr>
            <w:r w:rsidRPr="00753193">
              <w:rPr>
                <w:rFonts w:asciiTheme="majorHAnsi" w:hAnsiTheme="majorHAnsi" w:cstheme="majorHAnsi"/>
              </w:rPr>
              <w:t>Knowledge of and relationships/ability to develop relationships with Congress</w:t>
            </w:r>
            <w:r w:rsidR="00524296">
              <w:rPr>
                <w:rFonts w:asciiTheme="majorHAnsi" w:hAnsiTheme="majorHAnsi" w:cstheme="majorHAnsi"/>
              </w:rPr>
              <w:t>.</w:t>
            </w:r>
          </w:p>
        </w:tc>
      </w:tr>
      <w:tr w:rsidR="00684398" w:rsidRPr="00753193" w14:paraId="23E5F086" w14:textId="77777777" w:rsidTr="00111640">
        <w:tc>
          <w:tcPr>
            <w:tcW w:w="9630"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6BCC9E68" w14:textId="77777777" w:rsidR="00684398" w:rsidRPr="00753193" w:rsidRDefault="00684398" w:rsidP="00684398">
            <w:pPr>
              <w:jc w:val="center"/>
              <w:rPr>
                <w:rFonts w:asciiTheme="majorHAnsi" w:hAnsiTheme="majorHAnsi" w:cstheme="majorHAnsi"/>
                <w:b/>
              </w:rPr>
            </w:pPr>
            <w:r w:rsidRPr="00753193">
              <w:rPr>
                <w:rFonts w:asciiTheme="majorHAnsi" w:hAnsiTheme="majorHAnsi" w:cstheme="majorHAnsi"/>
                <w:b/>
              </w:rPr>
              <w:t>PAST APPOINTEES</w:t>
            </w:r>
          </w:p>
        </w:tc>
      </w:tr>
      <w:bookmarkEnd w:id="0"/>
      <w:tr w:rsidR="008412DB" w:rsidRPr="006D6BD8" w14:paraId="5564E834" w14:textId="77777777" w:rsidTr="00111640">
        <w:tc>
          <w:tcPr>
            <w:tcW w:w="9630" w:type="dxa"/>
            <w:gridSpan w:val="3"/>
          </w:tcPr>
          <w:p w14:paraId="4748F828" w14:textId="650663C1" w:rsidR="008412DB" w:rsidRPr="006D6BD8" w:rsidRDefault="003E401F" w:rsidP="1364D708">
            <w:pPr>
              <w:contextualSpacing/>
              <w:rPr>
                <w:rFonts w:asciiTheme="majorHAnsi" w:hAnsiTheme="majorHAnsi" w:cstheme="majorBidi"/>
              </w:rPr>
            </w:pPr>
            <w:r w:rsidRPr="0CCAC821">
              <w:rPr>
                <w:rFonts w:asciiTheme="majorHAnsi" w:hAnsiTheme="majorHAnsi" w:cstheme="majorBidi"/>
              </w:rPr>
              <w:t>Thomas Gilman (2019</w:t>
            </w:r>
            <w:r w:rsidR="5A33B1B5" w:rsidRPr="0CCAC821">
              <w:rPr>
                <w:rFonts w:asciiTheme="majorHAnsi" w:hAnsiTheme="majorHAnsi" w:cstheme="majorBidi"/>
              </w:rPr>
              <w:t xml:space="preserve"> to </w:t>
            </w:r>
            <w:r w:rsidRPr="0CCAC821">
              <w:rPr>
                <w:rFonts w:asciiTheme="majorHAnsi" w:hAnsiTheme="majorHAnsi" w:cstheme="majorBidi"/>
              </w:rPr>
              <w:t>2021) – Founder, Automotive Capital Services; EVP, TD Bank Group; Chairman and CEO</w:t>
            </w:r>
            <w:r w:rsidR="483E39A4" w:rsidRPr="0CCAC821">
              <w:rPr>
                <w:rFonts w:asciiTheme="majorHAnsi" w:hAnsiTheme="majorHAnsi" w:cstheme="majorBidi"/>
              </w:rPr>
              <w:t xml:space="preserve">, </w:t>
            </w:r>
            <w:r w:rsidRPr="0CCAC821">
              <w:rPr>
                <w:rFonts w:asciiTheme="majorHAnsi" w:hAnsiTheme="majorHAnsi" w:cstheme="majorBidi"/>
              </w:rPr>
              <w:t>Chrysler Financial; Senior Advisor, Cerberus Capital Management</w:t>
            </w:r>
          </w:p>
        </w:tc>
      </w:tr>
      <w:tr w:rsidR="008412DB" w:rsidRPr="006D6BD8" w14:paraId="25715462" w14:textId="77777777" w:rsidTr="00111640">
        <w:tc>
          <w:tcPr>
            <w:tcW w:w="9630" w:type="dxa"/>
            <w:gridSpan w:val="3"/>
          </w:tcPr>
          <w:p w14:paraId="1B2CEC48" w14:textId="2BF05C7A" w:rsidR="008412DB" w:rsidRPr="006D6BD8" w:rsidRDefault="003E401F" w:rsidP="0CCAC821">
            <w:pPr>
              <w:contextualSpacing/>
              <w:rPr>
                <w:rFonts w:asciiTheme="majorHAnsi" w:hAnsiTheme="majorHAnsi" w:cstheme="majorBidi"/>
              </w:rPr>
            </w:pPr>
            <w:r w:rsidRPr="0CCAC821">
              <w:rPr>
                <w:rFonts w:asciiTheme="majorHAnsi" w:hAnsiTheme="majorHAnsi" w:cstheme="majorBidi"/>
              </w:rPr>
              <w:t>Ellen Herbst (2013 to 2017) – Senior Advisor to the Deputy Secretary of Commerce; Director of Commerce’s National Technical Information Service; Vice President of Sales and Marketing</w:t>
            </w:r>
            <w:r w:rsidR="74AB0F50" w:rsidRPr="0CCAC821">
              <w:rPr>
                <w:rFonts w:asciiTheme="majorHAnsi" w:hAnsiTheme="majorHAnsi" w:cstheme="majorBidi"/>
              </w:rPr>
              <w:t>,</w:t>
            </w:r>
            <w:r w:rsidRPr="0CCAC821">
              <w:rPr>
                <w:rFonts w:asciiTheme="majorHAnsi" w:hAnsiTheme="majorHAnsi" w:cstheme="majorBidi"/>
              </w:rPr>
              <w:t xml:space="preserve"> Spectra Systems; Business Manager</w:t>
            </w:r>
            <w:r w:rsidR="67A561B1" w:rsidRPr="0CCAC821">
              <w:rPr>
                <w:rFonts w:asciiTheme="majorHAnsi" w:hAnsiTheme="majorHAnsi" w:cstheme="majorBidi"/>
              </w:rPr>
              <w:t xml:space="preserve">, </w:t>
            </w:r>
            <w:r w:rsidRPr="0CCAC821">
              <w:rPr>
                <w:rFonts w:asciiTheme="majorHAnsi" w:hAnsiTheme="majorHAnsi" w:cstheme="majorBidi"/>
              </w:rPr>
              <w:t>the DuPont Company</w:t>
            </w:r>
          </w:p>
        </w:tc>
      </w:tr>
      <w:tr w:rsidR="003E401F" w:rsidRPr="006D6BD8" w14:paraId="3380E0B0" w14:textId="77777777" w:rsidTr="00111640">
        <w:tc>
          <w:tcPr>
            <w:tcW w:w="9630" w:type="dxa"/>
            <w:gridSpan w:val="3"/>
          </w:tcPr>
          <w:p w14:paraId="385BC427" w14:textId="64059E8B" w:rsidR="003E401F" w:rsidRPr="006D6BD8" w:rsidRDefault="003E401F" w:rsidP="0CCAC821">
            <w:pPr>
              <w:contextualSpacing/>
              <w:rPr>
                <w:rFonts w:asciiTheme="majorHAnsi" w:hAnsiTheme="majorHAnsi" w:cstheme="majorBidi"/>
              </w:rPr>
            </w:pPr>
            <w:r w:rsidRPr="0CCAC821">
              <w:rPr>
                <w:rFonts w:asciiTheme="majorHAnsi" w:hAnsiTheme="majorHAnsi" w:cstheme="majorBidi"/>
              </w:rPr>
              <w:t>Scott Quehl (2009 to 2013) – Senior Managing Director, Public Resources Advisory Group; Managing Director, JP Morgan Securities, Inc.; Managing Director, Public Financial Management Group; CFO, Metropolitan Police Department of Washington, DC; Special Assistant to the Controller of the Office of Federal Financial Management within OMB</w:t>
            </w:r>
          </w:p>
        </w:tc>
      </w:tr>
    </w:tbl>
    <w:p w14:paraId="72389594" w14:textId="77777777" w:rsidR="00224D1E" w:rsidRPr="00224D1E" w:rsidRDefault="00224D1E">
      <w:pPr>
        <w:rPr>
          <w:rFonts w:asciiTheme="majorHAnsi" w:hAnsiTheme="majorHAnsi" w:cstheme="majorHAnsi"/>
        </w:rPr>
      </w:pPr>
    </w:p>
    <w:sectPr w:rsidR="00224D1E" w:rsidRPr="00224D1E" w:rsidSect="00DD7902">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87D3" w14:textId="77777777" w:rsidR="00545BC4" w:rsidRDefault="00545BC4" w:rsidP="001E22F1">
      <w:r>
        <w:separator/>
      </w:r>
    </w:p>
  </w:endnote>
  <w:endnote w:type="continuationSeparator" w:id="0">
    <w:p w14:paraId="65E7E5DC" w14:textId="77777777" w:rsidR="00545BC4" w:rsidRDefault="00545BC4" w:rsidP="001E22F1">
      <w:r>
        <w:continuationSeparator/>
      </w:r>
    </w:p>
  </w:endnote>
  <w:endnote w:id="1">
    <w:p w14:paraId="6B8221CA" w14:textId="2F3562C9" w:rsidR="00CD68AB" w:rsidRDefault="00CD68AB">
      <w:pPr>
        <w:pStyle w:val="EndnoteText"/>
      </w:pPr>
      <w:r>
        <w:rPr>
          <w:rStyle w:val="EndnoteReference"/>
        </w:rPr>
        <w:endnoteRef/>
      </w:r>
      <w:r w:rsidR="0CCAC821">
        <w:t xml:space="preserve"> </w:t>
      </w:r>
      <w:r w:rsidR="00855B3A" w:rsidRPr="00855B3A">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here. If you are selected for this position, please consult the agency’s HR representative for further guidance on compensation.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377B" w14:textId="77777777" w:rsidR="00CD68AB" w:rsidRDefault="00CD68AB"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2A4E2A" w14:textId="77777777" w:rsidR="00CD68AB" w:rsidRDefault="00CD68AB"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EA0C" w14:textId="611D1014" w:rsidR="00CD68AB" w:rsidRPr="00B64A22" w:rsidRDefault="00CD68AB"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DFB" w14:textId="77777777" w:rsidR="00CD68AB" w:rsidRPr="00B64A22" w:rsidRDefault="00CD68AB"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D4E2" w14:textId="77777777" w:rsidR="00545BC4" w:rsidRDefault="00545BC4" w:rsidP="001E22F1">
      <w:r>
        <w:separator/>
      </w:r>
    </w:p>
  </w:footnote>
  <w:footnote w:type="continuationSeparator" w:id="0">
    <w:p w14:paraId="27322188" w14:textId="77777777" w:rsidR="00545BC4" w:rsidRDefault="00545BC4"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D219" w14:textId="77777777" w:rsidR="00CD68AB" w:rsidRPr="00CA0F50" w:rsidRDefault="00545BC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CD68AB">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BD23" w14:textId="6E7E92AD" w:rsidR="00CD68AB" w:rsidRPr="00207063" w:rsidRDefault="0137E7F4" w:rsidP="0137E7F4">
    <w:pPr>
      <w:pStyle w:val="Header"/>
      <w:tabs>
        <w:tab w:val="clear" w:pos="4680"/>
      </w:tabs>
      <w:ind w:left="720"/>
      <w:jc w:val="right"/>
      <w:rPr>
        <w:rFonts w:eastAsia="Times New Roman"/>
        <w:color w:val="000000"/>
        <w:sz w:val="16"/>
        <w:szCs w:val="16"/>
      </w:rPr>
    </w:pPr>
    <w:r w:rsidRPr="0137E7F4">
      <w:rPr>
        <w:rFonts w:eastAsia="Times New Roman"/>
        <w:caps/>
        <w:color w:val="000000"/>
        <w:sz w:val="16"/>
        <w:szCs w:val="16"/>
      </w:rPr>
      <w:t>CENTER FOR PRESIDENTIAL TRANSITION</w:t>
    </w:r>
  </w:p>
  <w:p w14:paraId="74C32709" w14:textId="08396412" w:rsidR="00CD68AB" w:rsidRPr="00207063" w:rsidRDefault="00CD68AB" w:rsidP="0137E7F4">
    <w:pPr>
      <w:pStyle w:val="Header"/>
      <w:tabs>
        <w:tab w:val="clear" w:pos="4680"/>
      </w:tabs>
      <w:rPr>
        <w:rFonts w:ascii="Arial" w:hAnsi="Arial" w:cs="Arial"/>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71BB" w14:textId="3A19F8A0" w:rsidR="00CD68AB" w:rsidRPr="004960D6" w:rsidRDefault="0137E7F4" w:rsidP="00DD7902">
    <w:pPr>
      <w:pStyle w:val="Header"/>
      <w:tabs>
        <w:tab w:val="clear" w:pos="9360"/>
        <w:tab w:val="right" w:pos="8820"/>
      </w:tabs>
      <w:ind w:left="-360"/>
      <w:rPr>
        <w:rFonts w:ascii="Arial" w:hAnsi="Arial"/>
        <w:b/>
        <w:sz w:val="16"/>
        <w:szCs w:val="16"/>
      </w:rPr>
    </w:pPr>
    <w:r>
      <w:rPr>
        <w:noProof/>
      </w:rPr>
      <w:drawing>
        <wp:inline distT="0" distB="0" distL="0" distR="0" wp14:anchorId="1163D5DD" wp14:editId="78C0AC1E">
          <wp:extent cx="3720677" cy="416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7"/>
  </w:num>
  <w:num w:numId="19">
    <w:abstractNumId w:val="8"/>
  </w:num>
  <w:num w:numId="20">
    <w:abstractNumId w:val="28"/>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40"/>
  </w:num>
  <w:num w:numId="32">
    <w:abstractNumId w:val="41"/>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6"/>
  </w:num>
  <w:num w:numId="42">
    <w:abstractNumId w:val="1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36739"/>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1640"/>
    <w:rsid w:val="001150DF"/>
    <w:rsid w:val="0012306F"/>
    <w:rsid w:val="00125E3B"/>
    <w:rsid w:val="00125E46"/>
    <w:rsid w:val="0012723C"/>
    <w:rsid w:val="00134D8D"/>
    <w:rsid w:val="00136A97"/>
    <w:rsid w:val="00137365"/>
    <w:rsid w:val="0014081B"/>
    <w:rsid w:val="00143E63"/>
    <w:rsid w:val="00150E02"/>
    <w:rsid w:val="00160969"/>
    <w:rsid w:val="00160F21"/>
    <w:rsid w:val="001658B6"/>
    <w:rsid w:val="00171A70"/>
    <w:rsid w:val="0017272D"/>
    <w:rsid w:val="00175A02"/>
    <w:rsid w:val="00177526"/>
    <w:rsid w:val="0018425C"/>
    <w:rsid w:val="001956F0"/>
    <w:rsid w:val="001A3E9A"/>
    <w:rsid w:val="001A636E"/>
    <w:rsid w:val="001A66DF"/>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53A0A"/>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37B8C"/>
    <w:rsid w:val="003454E5"/>
    <w:rsid w:val="00347F97"/>
    <w:rsid w:val="00354173"/>
    <w:rsid w:val="003616AC"/>
    <w:rsid w:val="00366270"/>
    <w:rsid w:val="00370ED0"/>
    <w:rsid w:val="00375A18"/>
    <w:rsid w:val="0038078D"/>
    <w:rsid w:val="00386024"/>
    <w:rsid w:val="003910F3"/>
    <w:rsid w:val="003924C6"/>
    <w:rsid w:val="0039752D"/>
    <w:rsid w:val="003A0397"/>
    <w:rsid w:val="003A4DD4"/>
    <w:rsid w:val="003A6E33"/>
    <w:rsid w:val="003C0B7B"/>
    <w:rsid w:val="003C340E"/>
    <w:rsid w:val="003C3EF6"/>
    <w:rsid w:val="003C56E7"/>
    <w:rsid w:val="003D120B"/>
    <w:rsid w:val="003D4CCB"/>
    <w:rsid w:val="003D5759"/>
    <w:rsid w:val="003D6B64"/>
    <w:rsid w:val="003E401F"/>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4296"/>
    <w:rsid w:val="00526017"/>
    <w:rsid w:val="0053247E"/>
    <w:rsid w:val="00532578"/>
    <w:rsid w:val="00532BE2"/>
    <w:rsid w:val="00535C17"/>
    <w:rsid w:val="00545BC4"/>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0D44"/>
    <w:rsid w:val="0069387A"/>
    <w:rsid w:val="006939E5"/>
    <w:rsid w:val="006B0D7D"/>
    <w:rsid w:val="006B379A"/>
    <w:rsid w:val="006B6253"/>
    <w:rsid w:val="006C14EE"/>
    <w:rsid w:val="006C2A1C"/>
    <w:rsid w:val="006C44E6"/>
    <w:rsid w:val="006D6BD8"/>
    <w:rsid w:val="006E008A"/>
    <w:rsid w:val="006E374B"/>
    <w:rsid w:val="006E50C0"/>
    <w:rsid w:val="006F68A3"/>
    <w:rsid w:val="007043CA"/>
    <w:rsid w:val="0072243C"/>
    <w:rsid w:val="007237FA"/>
    <w:rsid w:val="00732A91"/>
    <w:rsid w:val="00736EC8"/>
    <w:rsid w:val="00737980"/>
    <w:rsid w:val="00741D94"/>
    <w:rsid w:val="007467DF"/>
    <w:rsid w:val="00753193"/>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12DB"/>
    <w:rsid w:val="00843FE7"/>
    <w:rsid w:val="00845BCF"/>
    <w:rsid w:val="008529C3"/>
    <w:rsid w:val="00855B3A"/>
    <w:rsid w:val="0085653B"/>
    <w:rsid w:val="00860EC5"/>
    <w:rsid w:val="00867383"/>
    <w:rsid w:val="008744A6"/>
    <w:rsid w:val="0087689B"/>
    <w:rsid w:val="008807E6"/>
    <w:rsid w:val="00883089"/>
    <w:rsid w:val="00883BC8"/>
    <w:rsid w:val="00892EDB"/>
    <w:rsid w:val="00894EC9"/>
    <w:rsid w:val="0089745E"/>
    <w:rsid w:val="00897ABC"/>
    <w:rsid w:val="008A05DD"/>
    <w:rsid w:val="008A7731"/>
    <w:rsid w:val="008B4CA7"/>
    <w:rsid w:val="008B7489"/>
    <w:rsid w:val="008C223B"/>
    <w:rsid w:val="008C5194"/>
    <w:rsid w:val="008D30E6"/>
    <w:rsid w:val="008D3564"/>
    <w:rsid w:val="00901824"/>
    <w:rsid w:val="009069C2"/>
    <w:rsid w:val="009140FD"/>
    <w:rsid w:val="00914746"/>
    <w:rsid w:val="009241DC"/>
    <w:rsid w:val="009320AA"/>
    <w:rsid w:val="00932702"/>
    <w:rsid w:val="0094517E"/>
    <w:rsid w:val="00946ADC"/>
    <w:rsid w:val="009555B4"/>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593"/>
    <w:rsid w:val="009D264E"/>
    <w:rsid w:val="009D3593"/>
    <w:rsid w:val="009D4257"/>
    <w:rsid w:val="009E3663"/>
    <w:rsid w:val="009E46C4"/>
    <w:rsid w:val="009E586C"/>
    <w:rsid w:val="009E7BBF"/>
    <w:rsid w:val="009F59E4"/>
    <w:rsid w:val="00A07E43"/>
    <w:rsid w:val="00A11046"/>
    <w:rsid w:val="00A15619"/>
    <w:rsid w:val="00A16DAE"/>
    <w:rsid w:val="00A20D92"/>
    <w:rsid w:val="00A21FED"/>
    <w:rsid w:val="00A264DB"/>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361F6"/>
    <w:rsid w:val="00B400BE"/>
    <w:rsid w:val="00B43D6C"/>
    <w:rsid w:val="00B60943"/>
    <w:rsid w:val="00B609BD"/>
    <w:rsid w:val="00B61EC4"/>
    <w:rsid w:val="00B64A22"/>
    <w:rsid w:val="00B66919"/>
    <w:rsid w:val="00B72A3A"/>
    <w:rsid w:val="00B761F1"/>
    <w:rsid w:val="00B8440A"/>
    <w:rsid w:val="00B85C44"/>
    <w:rsid w:val="00B8737B"/>
    <w:rsid w:val="00B92A39"/>
    <w:rsid w:val="00B961F7"/>
    <w:rsid w:val="00B97B34"/>
    <w:rsid w:val="00BA34BC"/>
    <w:rsid w:val="00BC1493"/>
    <w:rsid w:val="00BC78FF"/>
    <w:rsid w:val="00BD0F2B"/>
    <w:rsid w:val="00BD29EF"/>
    <w:rsid w:val="00BD4276"/>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1D96"/>
    <w:rsid w:val="00CD409E"/>
    <w:rsid w:val="00CD68AB"/>
    <w:rsid w:val="00CE3CA3"/>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07EE"/>
    <w:rsid w:val="00DB7158"/>
    <w:rsid w:val="00DC0DCD"/>
    <w:rsid w:val="00DC1593"/>
    <w:rsid w:val="00DC4447"/>
    <w:rsid w:val="00DC4641"/>
    <w:rsid w:val="00DC65B3"/>
    <w:rsid w:val="00DD0C75"/>
    <w:rsid w:val="00DD6727"/>
    <w:rsid w:val="00DD7902"/>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67A3B"/>
    <w:rsid w:val="00E70863"/>
    <w:rsid w:val="00E71C0D"/>
    <w:rsid w:val="00E725B6"/>
    <w:rsid w:val="00E7353D"/>
    <w:rsid w:val="00E766C6"/>
    <w:rsid w:val="00E80B5C"/>
    <w:rsid w:val="00E828F9"/>
    <w:rsid w:val="00E90C00"/>
    <w:rsid w:val="00EB20A7"/>
    <w:rsid w:val="00EB6E68"/>
    <w:rsid w:val="00EC2402"/>
    <w:rsid w:val="00EC429B"/>
    <w:rsid w:val="00EC4FDB"/>
    <w:rsid w:val="00ED52F5"/>
    <w:rsid w:val="00ED5B9E"/>
    <w:rsid w:val="00EE58CC"/>
    <w:rsid w:val="00EF11FF"/>
    <w:rsid w:val="00EF17AE"/>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 w:val="0137E7F4"/>
    <w:rsid w:val="03B6F031"/>
    <w:rsid w:val="047BEE3D"/>
    <w:rsid w:val="07C4CD11"/>
    <w:rsid w:val="0CCAC821"/>
    <w:rsid w:val="1364D708"/>
    <w:rsid w:val="1436AD7A"/>
    <w:rsid w:val="3004D1A6"/>
    <w:rsid w:val="3BF6FADE"/>
    <w:rsid w:val="3E711AD7"/>
    <w:rsid w:val="450B92A7"/>
    <w:rsid w:val="483E39A4"/>
    <w:rsid w:val="5A33B1B5"/>
    <w:rsid w:val="600099C1"/>
    <w:rsid w:val="67A561B1"/>
    <w:rsid w:val="74AB0F50"/>
    <w:rsid w:val="7F5F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04A60"/>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iPriority w:val="99"/>
    <w:semiHidden/>
    <w:unhideWhenUsed/>
    <w:rsid w:val="0030193E"/>
    <w:rPr>
      <w:sz w:val="20"/>
      <w:szCs w:val="20"/>
    </w:rPr>
  </w:style>
  <w:style w:type="character" w:customStyle="1" w:styleId="EndnoteTextChar">
    <w:name w:val="Endnote Text Char"/>
    <w:basedOn w:val="DefaultParagraphFont"/>
    <w:link w:val="EndnoteText"/>
    <w:uiPriority w:val="99"/>
    <w:semiHidden/>
    <w:rsid w:val="0030193E"/>
    <w:rPr>
      <w:sz w:val="20"/>
      <w:szCs w:val="20"/>
    </w:rPr>
  </w:style>
  <w:style w:type="character" w:styleId="EndnoteReference">
    <w:name w:val="endnote reference"/>
    <w:basedOn w:val="DefaultParagraphFont"/>
    <w:uiPriority w:val="99"/>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 w:type="paragraph" w:customStyle="1" w:styleId="paragraph">
    <w:name w:val="paragraph"/>
    <w:basedOn w:val="Normal"/>
    <w:rsid w:val="00EB6E68"/>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EB6E68"/>
  </w:style>
  <w:style w:type="character" w:customStyle="1" w:styleId="eop">
    <w:name w:val="eop"/>
    <w:basedOn w:val="DefaultParagraphFont"/>
    <w:rsid w:val="00EB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C76A9"/>
    <w:rsid w:val="001E4D58"/>
    <w:rsid w:val="00297253"/>
    <w:rsid w:val="00577376"/>
    <w:rsid w:val="005B3992"/>
    <w:rsid w:val="005E1369"/>
    <w:rsid w:val="005E3561"/>
    <w:rsid w:val="00672DF4"/>
    <w:rsid w:val="006D1ED1"/>
    <w:rsid w:val="007F38E2"/>
    <w:rsid w:val="008638AA"/>
    <w:rsid w:val="0087154F"/>
    <w:rsid w:val="008F1F7B"/>
    <w:rsid w:val="008F5F77"/>
    <w:rsid w:val="00A35869"/>
    <w:rsid w:val="00A9166C"/>
    <w:rsid w:val="00AC054C"/>
    <w:rsid w:val="00AC0DBB"/>
    <w:rsid w:val="00BB64E1"/>
    <w:rsid w:val="00BD6ED2"/>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0B23-CBD8-4B37-A116-C3B65DE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4.xml><?xml version="1.0" encoding="utf-8"?>
<ds:datastoreItem xmlns:ds="http://schemas.openxmlformats.org/officeDocument/2006/customXml" ds:itemID="{03357BEB-9702-4D07-9CE8-71271991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23</cp:revision>
  <cp:lastPrinted>2016-07-12T18:00:00Z</cp:lastPrinted>
  <dcterms:created xsi:type="dcterms:W3CDTF">2021-02-17T06:32:00Z</dcterms:created>
  <dcterms:modified xsi:type="dcterms:W3CDTF">2021-05-03T15:23:00Z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