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FB97" w14:textId="77777777" w:rsidR="0017272D" w:rsidRPr="00713EED" w:rsidRDefault="0017272D" w:rsidP="00713EED">
      <w:pPr>
        <w:pStyle w:val="Heading1"/>
        <w:spacing w:before="240" w:after="0"/>
        <w:rPr>
          <w:rFonts w:asciiTheme="majorHAnsi" w:hAnsiTheme="majorHAnsi" w:cstheme="majorHAnsi"/>
          <w:b w:val="0"/>
          <w:color w:val="004066" w:themeColor="accent1" w:themeShade="BF"/>
          <w:sz w:val="20"/>
          <w:szCs w:val="22"/>
        </w:rPr>
      </w:pPr>
      <w:bookmarkStart w:id="0" w:name="_Toc143586611"/>
      <w:r w:rsidRPr="00713EED">
        <w:rPr>
          <w:rFonts w:asciiTheme="majorHAnsi" w:hAnsiTheme="majorHAnsi" w:cstheme="majorHAnsi"/>
          <w:b w:val="0"/>
          <w:color w:val="004066" w:themeColor="accent1" w:themeShade="BF"/>
          <w:sz w:val="20"/>
          <w:szCs w:val="22"/>
        </w:rPr>
        <w:t>POSITION DESCRIPTION</w:t>
      </w:r>
    </w:p>
    <w:p w14:paraId="477A8162" w14:textId="72266A0C" w:rsidR="00BC0728" w:rsidRPr="00713EED" w:rsidRDefault="004F31D5" w:rsidP="00BC0728">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color w:val="004066" w:themeColor="accent1" w:themeShade="BF"/>
          <w:sz w:val="26"/>
          <w:szCs w:val="24"/>
        </w:rPr>
      </w:pPr>
      <w:r>
        <w:rPr>
          <w:rFonts w:ascii="Arial" w:eastAsiaTheme="majorEastAsia" w:hAnsi="Arial" w:cstheme="majorBidi"/>
          <w:b/>
          <w:bCs/>
          <w:caps/>
          <w:color w:val="004066" w:themeColor="accent1" w:themeShade="BF"/>
          <w:sz w:val="26"/>
          <w:szCs w:val="24"/>
        </w:rPr>
        <w:t>director for cybersecurity and infrastructure security agency (formerly National protection and programs directorate)</w:t>
      </w:r>
    </w:p>
    <w:p w14:paraId="41C2746A" w14:textId="77777777" w:rsidR="00661AE5" w:rsidRPr="00224D1E" w:rsidRDefault="00661AE5" w:rsidP="00661AE5">
      <w:pPr>
        <w:rPr>
          <w:rFonts w:asciiTheme="majorHAnsi" w:hAnsiTheme="majorHAnsi" w:cstheme="majorHAnsi"/>
        </w:rPr>
      </w:pPr>
    </w:p>
    <w:tbl>
      <w:tblPr>
        <w:tblStyle w:val="TableGrid"/>
        <w:tblW w:w="0" w:type="auto"/>
        <w:tblInd w:w="-3" w:type="dxa"/>
        <w:tblCellMar>
          <w:top w:w="58" w:type="dxa"/>
          <w:left w:w="115" w:type="dxa"/>
          <w:bottom w:w="58" w:type="dxa"/>
          <w:right w:w="115" w:type="dxa"/>
        </w:tblCellMar>
        <w:tblLook w:val="04A0" w:firstRow="1" w:lastRow="0" w:firstColumn="1" w:lastColumn="0" w:noHBand="0" w:noVBand="1"/>
      </w:tblPr>
      <w:tblGrid>
        <w:gridCol w:w="2731"/>
        <w:gridCol w:w="6899"/>
      </w:tblGrid>
      <w:tr w:rsidR="00BC0728" w:rsidRPr="008800DF" w14:paraId="734284D7" w14:textId="77777777" w:rsidTr="00713EED">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BF8CFA3" w14:textId="77777777" w:rsidR="00BC0728" w:rsidRPr="008800DF" w:rsidRDefault="00BC0728" w:rsidP="00E4729D">
            <w:pPr>
              <w:jc w:val="center"/>
              <w:rPr>
                <w:rFonts w:asciiTheme="majorHAnsi" w:hAnsiTheme="majorHAnsi" w:cstheme="majorHAnsi"/>
                <w:b/>
              </w:rPr>
            </w:pPr>
            <w:r w:rsidRPr="008800DF">
              <w:rPr>
                <w:rFonts w:asciiTheme="majorHAnsi" w:hAnsiTheme="majorHAnsi" w:cstheme="majorHAnsi"/>
                <w:b/>
              </w:rPr>
              <w:t>OVERVIEW</w:t>
            </w:r>
          </w:p>
        </w:tc>
      </w:tr>
      <w:tr w:rsidR="00BC0728" w:rsidRPr="008800DF" w14:paraId="22516AD1" w14:textId="77777777" w:rsidTr="00713EED">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9EF2A22" w14:textId="77777777" w:rsidR="00BC0728" w:rsidRPr="008800DF" w:rsidRDefault="00BC0728" w:rsidP="00E4729D">
            <w:pPr>
              <w:rPr>
                <w:rFonts w:asciiTheme="majorHAnsi" w:hAnsiTheme="majorHAnsi" w:cstheme="majorHAnsi"/>
              </w:rPr>
            </w:pPr>
            <w:r w:rsidRPr="008800DF">
              <w:rPr>
                <w:rFonts w:asciiTheme="majorHAnsi" w:hAnsiTheme="majorHAnsi" w:cstheme="majorHAnsi"/>
              </w:rPr>
              <w:t>Senate Committee</w:t>
            </w:r>
          </w:p>
        </w:tc>
        <w:tc>
          <w:tcPr>
            <w:tcW w:w="6899" w:type="dxa"/>
            <w:tcBorders>
              <w:top w:val="single" w:sz="2" w:space="0" w:color="auto"/>
              <w:left w:val="single" w:sz="2" w:space="0" w:color="auto"/>
              <w:bottom w:val="single" w:sz="2" w:space="0" w:color="auto"/>
              <w:right w:val="single" w:sz="2" w:space="0" w:color="auto"/>
            </w:tcBorders>
          </w:tcPr>
          <w:p w14:paraId="47304845" w14:textId="77777777" w:rsidR="00BC0728" w:rsidRPr="008800DF" w:rsidRDefault="00BC0728" w:rsidP="00E4729D">
            <w:pPr>
              <w:jc w:val="both"/>
              <w:rPr>
                <w:rFonts w:asciiTheme="majorHAnsi" w:hAnsiTheme="majorHAnsi" w:cstheme="majorHAnsi"/>
                <w:bCs/>
              </w:rPr>
            </w:pPr>
            <w:r w:rsidRPr="008800DF">
              <w:rPr>
                <w:rFonts w:asciiTheme="majorHAnsi" w:hAnsiTheme="majorHAnsi" w:cstheme="majorHAnsi"/>
                <w:bCs/>
              </w:rPr>
              <w:t>Homeland Security and Governmental Affairs</w:t>
            </w:r>
          </w:p>
        </w:tc>
      </w:tr>
      <w:tr w:rsidR="00BC0728" w:rsidRPr="008800DF" w14:paraId="4AB01898" w14:textId="77777777" w:rsidTr="00713EED">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87B8F0C" w14:textId="77777777" w:rsidR="00BC0728" w:rsidRPr="008800DF" w:rsidRDefault="00BC0728" w:rsidP="00E4729D">
            <w:pPr>
              <w:rPr>
                <w:rFonts w:asciiTheme="majorHAnsi" w:hAnsiTheme="majorHAnsi" w:cstheme="majorHAnsi"/>
              </w:rPr>
            </w:pPr>
            <w:r w:rsidRPr="008800DF">
              <w:rPr>
                <w:rFonts w:asciiTheme="majorHAnsi" w:hAnsiTheme="majorHAnsi" w:cstheme="majorHAnsi"/>
              </w:rPr>
              <w:t>Agency Mission</w:t>
            </w:r>
          </w:p>
        </w:tc>
        <w:tc>
          <w:tcPr>
            <w:tcW w:w="6899" w:type="dxa"/>
            <w:tcBorders>
              <w:top w:val="single" w:sz="2" w:space="0" w:color="auto"/>
              <w:left w:val="single" w:sz="2" w:space="0" w:color="auto"/>
              <w:bottom w:val="single" w:sz="2" w:space="0" w:color="auto"/>
              <w:right w:val="single" w:sz="2" w:space="0" w:color="auto"/>
            </w:tcBorders>
          </w:tcPr>
          <w:p w14:paraId="272B7EE7" w14:textId="77777777" w:rsidR="00BC0728" w:rsidRPr="008800DF" w:rsidRDefault="00BC0728" w:rsidP="00E4729D">
            <w:pPr>
              <w:contextualSpacing/>
              <w:rPr>
                <w:rFonts w:asciiTheme="majorHAnsi" w:hAnsiTheme="majorHAnsi" w:cstheme="majorHAnsi"/>
                <w:bCs/>
              </w:rPr>
            </w:pPr>
            <w:r w:rsidRPr="008800DF">
              <w:rPr>
                <w:rFonts w:asciiTheme="majorHAnsi" w:hAnsiTheme="majorHAnsi" w:cstheme="majorHAnsi"/>
                <w:bCs/>
              </w:rPr>
              <w:t>To ensure that homeland is safe, secure and resilient against terrorism and other potential threats.</w:t>
            </w:r>
          </w:p>
        </w:tc>
      </w:tr>
      <w:tr w:rsidR="00BC0728" w:rsidRPr="008800DF" w14:paraId="16E89BD2" w14:textId="77777777" w:rsidTr="00713EED">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0AC4D4B" w14:textId="77777777" w:rsidR="00BC0728" w:rsidRPr="008800DF" w:rsidRDefault="00BC0728" w:rsidP="00E4729D">
            <w:pPr>
              <w:rPr>
                <w:rFonts w:asciiTheme="majorHAnsi" w:hAnsiTheme="majorHAnsi" w:cstheme="majorHAnsi"/>
              </w:rPr>
            </w:pPr>
            <w:r w:rsidRPr="008800DF">
              <w:rPr>
                <w:rFonts w:asciiTheme="majorHAnsi" w:hAnsiTheme="majorHAnsi" w:cstheme="majorHAnsi"/>
              </w:rPr>
              <w:t>Position Overview</w:t>
            </w:r>
          </w:p>
        </w:tc>
        <w:tc>
          <w:tcPr>
            <w:tcW w:w="6899" w:type="dxa"/>
            <w:tcBorders>
              <w:top w:val="single" w:sz="2" w:space="0" w:color="auto"/>
              <w:left w:val="single" w:sz="2" w:space="0" w:color="auto"/>
              <w:bottom w:val="single" w:sz="2" w:space="0" w:color="auto"/>
              <w:right w:val="single" w:sz="2" w:space="0" w:color="auto"/>
            </w:tcBorders>
          </w:tcPr>
          <w:p w14:paraId="4D1E1A6D" w14:textId="77777777" w:rsidR="00BC0728" w:rsidRPr="008800DF" w:rsidRDefault="00BC0728" w:rsidP="00E4729D">
            <w:pPr>
              <w:rPr>
                <w:rFonts w:asciiTheme="majorHAnsi" w:hAnsiTheme="majorHAnsi" w:cstheme="majorHAnsi"/>
              </w:rPr>
            </w:pPr>
            <w:r w:rsidRPr="008800DF">
              <w:rPr>
                <w:rFonts w:asciiTheme="majorHAnsi" w:hAnsiTheme="majorHAnsi" w:cstheme="majorHAnsi"/>
                <w:bCs/>
              </w:rPr>
              <w:t>The undersecretary’s goal is to advance the department's risk-reduction mission. Reducing risk requires an integrated approach that encompasses both physical and virtual threats and their associated human elements. The undersecretary leads the efforts to protect and enhance the resiliency of the nation’s physical and cyber critical infrastructure from terrorist attacks, natural disasters and other catastrophic incidents.</w:t>
            </w:r>
            <w:r w:rsidRPr="008800DF">
              <w:rPr>
                <w:rFonts w:asciiTheme="majorHAnsi" w:hAnsiTheme="majorHAnsi" w:cstheme="majorHAnsi"/>
                <w:color w:val="000000"/>
                <w:lang w:val="en"/>
              </w:rPr>
              <w:t xml:space="preserve"> The directorate accomplishes its mission by partnering with infrastructure owners and operators as well as federal, state, local and territorial officials.</w:t>
            </w:r>
          </w:p>
        </w:tc>
      </w:tr>
      <w:tr w:rsidR="00BC0728" w:rsidRPr="008800DF" w14:paraId="5ECC63BA" w14:textId="77777777" w:rsidTr="00713EED">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4AE810E" w14:textId="77777777" w:rsidR="00BC0728" w:rsidRPr="008800DF" w:rsidRDefault="00BC0728" w:rsidP="00E4729D">
            <w:pPr>
              <w:rPr>
                <w:rFonts w:asciiTheme="majorHAnsi" w:hAnsiTheme="majorHAnsi" w:cstheme="majorHAnsi"/>
                <w:i/>
              </w:rPr>
            </w:pPr>
            <w:r w:rsidRPr="008800DF">
              <w:rPr>
                <w:rFonts w:asciiTheme="majorHAnsi" w:hAnsiTheme="majorHAnsi" w:cstheme="majorHAnsi"/>
              </w:rPr>
              <w:t>Compensation</w:t>
            </w:r>
          </w:p>
        </w:tc>
        <w:tc>
          <w:tcPr>
            <w:tcW w:w="6899" w:type="dxa"/>
            <w:tcBorders>
              <w:top w:val="single" w:sz="2" w:space="0" w:color="auto"/>
              <w:left w:val="single" w:sz="2" w:space="0" w:color="auto"/>
              <w:bottom w:val="single" w:sz="2" w:space="0" w:color="auto"/>
              <w:right w:val="single" w:sz="2" w:space="0" w:color="auto"/>
            </w:tcBorders>
          </w:tcPr>
          <w:p w14:paraId="6599F802" w14:textId="7623D25B" w:rsidR="00BC0728" w:rsidRPr="008800DF" w:rsidRDefault="004D0F12" w:rsidP="00613373">
            <w:pPr>
              <w:jc w:val="both"/>
              <w:rPr>
                <w:rFonts w:asciiTheme="majorHAnsi" w:hAnsiTheme="majorHAnsi" w:cstheme="majorHAnsi"/>
                <w:bCs/>
              </w:rPr>
            </w:pPr>
            <w:r w:rsidRPr="008800DF">
              <w:rPr>
                <w:rFonts w:asciiTheme="majorHAnsi" w:hAnsiTheme="majorHAnsi" w:cstheme="majorHAnsi"/>
                <w:bCs/>
              </w:rPr>
              <w:t>Level III $</w:t>
            </w:r>
            <w:r w:rsidR="0099690A">
              <w:rPr>
                <w:rFonts w:asciiTheme="majorHAnsi" w:hAnsiTheme="majorHAnsi" w:cstheme="majorHAnsi"/>
                <w:bCs/>
              </w:rPr>
              <w:t>168,400</w:t>
            </w:r>
            <w:r w:rsidR="00BC0728" w:rsidRPr="008800DF">
              <w:rPr>
                <w:rFonts w:asciiTheme="majorHAnsi" w:hAnsiTheme="majorHAnsi" w:cstheme="majorHAnsi"/>
                <w:bCs/>
              </w:rPr>
              <w:t xml:space="preserve"> (5 U.S.C. § 5314)</w:t>
            </w:r>
            <w:r w:rsidR="0099690A">
              <w:rPr>
                <w:rStyle w:val="EndnoteReference"/>
                <w:rFonts w:asciiTheme="majorHAnsi" w:hAnsiTheme="majorHAnsi" w:cstheme="majorHAnsi"/>
                <w:bCs/>
              </w:rPr>
              <w:endnoteReference w:id="1"/>
            </w:r>
          </w:p>
        </w:tc>
      </w:tr>
      <w:tr w:rsidR="00BC0728" w:rsidRPr="008800DF" w14:paraId="026A2102" w14:textId="77777777" w:rsidTr="00713EED">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21AD233" w14:textId="77777777" w:rsidR="00BC0728" w:rsidRPr="008800DF" w:rsidRDefault="00BC0728" w:rsidP="00E4729D">
            <w:pPr>
              <w:rPr>
                <w:rFonts w:asciiTheme="majorHAnsi" w:hAnsiTheme="majorHAnsi" w:cstheme="majorHAnsi"/>
              </w:rPr>
            </w:pPr>
            <w:r w:rsidRPr="008800DF">
              <w:rPr>
                <w:rFonts w:asciiTheme="majorHAnsi" w:hAnsiTheme="majorHAnsi" w:cstheme="majorHAnsi"/>
              </w:rPr>
              <w:t>Position Reports to</w:t>
            </w:r>
          </w:p>
        </w:tc>
        <w:tc>
          <w:tcPr>
            <w:tcW w:w="6899" w:type="dxa"/>
            <w:tcBorders>
              <w:top w:val="single" w:sz="2" w:space="0" w:color="auto"/>
              <w:left w:val="single" w:sz="2" w:space="0" w:color="auto"/>
              <w:bottom w:val="single" w:sz="2" w:space="0" w:color="auto"/>
              <w:right w:val="single" w:sz="2" w:space="0" w:color="auto"/>
            </w:tcBorders>
          </w:tcPr>
          <w:p w14:paraId="39FEE37E" w14:textId="77777777" w:rsidR="00BC0728" w:rsidRPr="008800DF" w:rsidRDefault="00BC0728" w:rsidP="00E4729D">
            <w:pPr>
              <w:rPr>
                <w:rFonts w:asciiTheme="majorHAnsi" w:hAnsiTheme="majorHAnsi" w:cstheme="majorHAnsi"/>
              </w:rPr>
            </w:pPr>
            <w:r w:rsidRPr="008800DF">
              <w:rPr>
                <w:rFonts w:asciiTheme="majorHAnsi" w:hAnsiTheme="majorHAnsi" w:cstheme="majorHAnsi"/>
              </w:rPr>
              <w:t>Secretary and deputy secretary of Homeland Security</w:t>
            </w:r>
          </w:p>
        </w:tc>
      </w:tr>
      <w:tr w:rsidR="00BC0728" w:rsidRPr="008800DF" w14:paraId="3C13FED7" w14:textId="77777777" w:rsidTr="00713EED">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C810119" w14:textId="77777777" w:rsidR="00BC0728" w:rsidRPr="008800DF" w:rsidRDefault="00BC0728" w:rsidP="00E4729D">
            <w:pPr>
              <w:jc w:val="center"/>
              <w:rPr>
                <w:rFonts w:asciiTheme="majorHAnsi" w:hAnsiTheme="majorHAnsi" w:cstheme="majorHAnsi"/>
                <w:b/>
              </w:rPr>
            </w:pPr>
            <w:r w:rsidRPr="008800DF">
              <w:rPr>
                <w:rFonts w:asciiTheme="majorHAnsi" w:hAnsiTheme="majorHAnsi" w:cstheme="majorHAnsi"/>
                <w:b/>
              </w:rPr>
              <w:t>RESPONSIBILITIES</w:t>
            </w:r>
          </w:p>
        </w:tc>
      </w:tr>
      <w:tr w:rsidR="00BC0728" w:rsidRPr="008800DF" w14:paraId="30A2FF09" w14:textId="77777777" w:rsidTr="00713EED">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6245804" w14:textId="77777777" w:rsidR="00BC0728" w:rsidRPr="008800DF" w:rsidRDefault="00BC0728" w:rsidP="00E4729D">
            <w:pPr>
              <w:rPr>
                <w:rFonts w:asciiTheme="majorHAnsi" w:hAnsiTheme="majorHAnsi" w:cstheme="majorHAnsi"/>
              </w:rPr>
            </w:pPr>
            <w:r w:rsidRPr="008800DF">
              <w:rPr>
                <w:rFonts w:asciiTheme="majorHAnsi" w:hAnsiTheme="majorHAnsi" w:cstheme="majorHAnsi"/>
              </w:rPr>
              <w:t>Management Scope</w:t>
            </w:r>
          </w:p>
        </w:tc>
        <w:tc>
          <w:tcPr>
            <w:tcW w:w="6899" w:type="dxa"/>
            <w:tcBorders>
              <w:top w:val="single" w:sz="2" w:space="0" w:color="auto"/>
              <w:left w:val="single" w:sz="2" w:space="0" w:color="auto"/>
              <w:bottom w:val="single" w:sz="2" w:space="0" w:color="auto"/>
              <w:right w:val="single" w:sz="2" w:space="0" w:color="auto"/>
            </w:tcBorders>
          </w:tcPr>
          <w:p w14:paraId="1B519076" w14:textId="044C147F" w:rsidR="00BC0728" w:rsidRPr="008800DF" w:rsidRDefault="008800DF" w:rsidP="00E4729D">
            <w:pPr>
              <w:rPr>
                <w:rFonts w:asciiTheme="majorHAnsi" w:hAnsiTheme="majorHAnsi" w:cstheme="majorHAnsi"/>
              </w:rPr>
            </w:pPr>
            <w:r w:rsidRPr="008800DF">
              <w:rPr>
                <w:rFonts w:asciiTheme="majorHAnsi" w:hAnsiTheme="majorHAnsi" w:cstheme="majorHAnsi"/>
              </w:rPr>
              <w:t xml:space="preserve">In fiscal </w:t>
            </w:r>
            <w:r w:rsidR="00A70128" w:rsidRPr="008800DF">
              <w:rPr>
                <w:rFonts w:asciiTheme="majorHAnsi" w:hAnsiTheme="majorHAnsi" w:cstheme="majorHAnsi"/>
              </w:rPr>
              <w:t>20</w:t>
            </w:r>
            <w:r w:rsidR="00A70128">
              <w:rPr>
                <w:rFonts w:asciiTheme="majorHAnsi" w:hAnsiTheme="majorHAnsi" w:cstheme="majorHAnsi"/>
              </w:rPr>
              <w:t>20</w:t>
            </w:r>
            <w:r w:rsidRPr="008800DF">
              <w:rPr>
                <w:rFonts w:asciiTheme="majorHAnsi" w:hAnsiTheme="majorHAnsi" w:cstheme="majorHAnsi"/>
              </w:rPr>
              <w:t>, DHS had $</w:t>
            </w:r>
            <w:r w:rsidR="007D320A">
              <w:rPr>
                <w:rFonts w:asciiTheme="majorHAnsi" w:hAnsiTheme="majorHAnsi" w:cstheme="majorHAnsi"/>
              </w:rPr>
              <w:t>6.552 trillion</w:t>
            </w:r>
            <w:r w:rsidR="007D320A" w:rsidRPr="00017B47">
              <w:rPr>
                <w:rFonts w:asciiTheme="majorHAnsi" w:hAnsiTheme="majorHAnsi" w:cstheme="majorHAnsi"/>
              </w:rPr>
              <w:t xml:space="preserve"> </w:t>
            </w:r>
            <w:r w:rsidRPr="008800DF">
              <w:rPr>
                <w:rFonts w:asciiTheme="majorHAnsi" w:hAnsiTheme="majorHAnsi" w:cstheme="majorHAnsi"/>
              </w:rPr>
              <w:t xml:space="preserve">in outlays and </w:t>
            </w:r>
            <w:r w:rsidR="007D320A">
              <w:rPr>
                <w:rFonts w:asciiTheme="majorHAnsi" w:hAnsiTheme="majorHAnsi" w:cstheme="majorHAnsi"/>
              </w:rPr>
              <w:t>244,445</w:t>
            </w:r>
            <w:r w:rsidRPr="008800DF">
              <w:rPr>
                <w:rFonts w:asciiTheme="majorHAnsi" w:hAnsiTheme="majorHAnsi" w:cstheme="majorHAnsi"/>
              </w:rPr>
              <w:t xml:space="preserve"> total employment. </w:t>
            </w:r>
            <w:r w:rsidR="00BC0728" w:rsidRPr="008800DF">
              <w:rPr>
                <w:rFonts w:asciiTheme="majorHAnsi" w:hAnsiTheme="majorHAnsi" w:cstheme="majorHAnsi"/>
                <w:color w:val="000000"/>
                <w:lang w:val="en"/>
              </w:rPr>
              <w:t xml:space="preserve">The undersecretary oversees a staff of approximately 2,800 and an annual budget of approximately $2.5 billion. Direct reports include: </w:t>
            </w:r>
          </w:p>
          <w:p w14:paraId="231FADC6" w14:textId="73236997" w:rsidR="00BC0728" w:rsidRPr="008800DF" w:rsidRDefault="00BC0728" w:rsidP="00BC0728">
            <w:pPr>
              <w:numPr>
                <w:ilvl w:val="0"/>
                <w:numId w:val="43"/>
              </w:numPr>
              <w:contextualSpacing/>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t>Deputy undersecretary for cyber security</w:t>
            </w:r>
            <w:r w:rsidR="007D320A">
              <w:rPr>
                <w:rFonts w:asciiTheme="majorHAnsi" w:eastAsia="Calibri" w:hAnsiTheme="majorHAnsi" w:cstheme="majorHAnsi"/>
                <w:color w:val="000000"/>
                <w:lang w:val="en"/>
              </w:rPr>
              <w:t>.</w:t>
            </w:r>
          </w:p>
          <w:p w14:paraId="115A5388" w14:textId="21CECF7E" w:rsidR="00BC0728" w:rsidRPr="008800DF" w:rsidRDefault="00BC0728" w:rsidP="00BC0728">
            <w:pPr>
              <w:numPr>
                <w:ilvl w:val="0"/>
                <w:numId w:val="43"/>
              </w:numPr>
              <w:contextualSpacing/>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t>Deputy undersecretary for national protections and programs</w:t>
            </w:r>
            <w:r w:rsidR="007D320A">
              <w:rPr>
                <w:rFonts w:asciiTheme="majorHAnsi" w:eastAsia="Calibri" w:hAnsiTheme="majorHAnsi" w:cstheme="majorHAnsi"/>
                <w:color w:val="000000"/>
                <w:lang w:val="en"/>
              </w:rPr>
              <w:t>.</w:t>
            </w:r>
          </w:p>
          <w:p w14:paraId="514350A3" w14:textId="3096BC9E" w:rsidR="00BC0728" w:rsidRPr="008800DF" w:rsidRDefault="00BC0728" w:rsidP="00BC0728">
            <w:pPr>
              <w:numPr>
                <w:ilvl w:val="0"/>
                <w:numId w:val="43"/>
              </w:numPr>
              <w:contextualSpacing/>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t>Director, Federal Protective Service</w:t>
            </w:r>
            <w:r w:rsidR="007D320A">
              <w:rPr>
                <w:rFonts w:asciiTheme="majorHAnsi" w:eastAsia="Calibri" w:hAnsiTheme="majorHAnsi" w:cstheme="majorHAnsi"/>
                <w:color w:val="000000"/>
                <w:lang w:val="en"/>
              </w:rPr>
              <w:t>.</w:t>
            </w:r>
          </w:p>
          <w:p w14:paraId="1E795AF4" w14:textId="15FAE34D" w:rsidR="00BC0728" w:rsidRPr="008800DF" w:rsidRDefault="00BC0728" w:rsidP="00BC0728">
            <w:pPr>
              <w:numPr>
                <w:ilvl w:val="0"/>
                <w:numId w:val="43"/>
              </w:numPr>
              <w:contextualSpacing/>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t>Director, Office of Biometric Identification Management</w:t>
            </w:r>
            <w:r w:rsidR="007D320A">
              <w:rPr>
                <w:rFonts w:asciiTheme="majorHAnsi" w:eastAsia="Calibri" w:hAnsiTheme="majorHAnsi" w:cstheme="majorHAnsi"/>
                <w:color w:val="000000"/>
                <w:lang w:val="en"/>
              </w:rPr>
              <w:t>.</w:t>
            </w:r>
          </w:p>
        </w:tc>
      </w:tr>
      <w:tr w:rsidR="00BC0728" w:rsidRPr="008800DF" w14:paraId="06F147E9" w14:textId="77777777" w:rsidTr="00713EED">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81EBF2D" w14:textId="77777777" w:rsidR="00BC0728" w:rsidRPr="008800DF" w:rsidRDefault="00BC0728" w:rsidP="00E4729D">
            <w:pPr>
              <w:rPr>
                <w:rFonts w:asciiTheme="majorHAnsi" w:hAnsiTheme="majorHAnsi" w:cstheme="majorHAnsi"/>
              </w:rPr>
            </w:pPr>
            <w:r w:rsidRPr="008800DF">
              <w:rPr>
                <w:rFonts w:asciiTheme="majorHAnsi" w:hAnsiTheme="majorHAnsi" w:cstheme="majorHAnsi"/>
              </w:rPr>
              <w:t>Primary Responsibilities</w:t>
            </w:r>
          </w:p>
        </w:tc>
        <w:tc>
          <w:tcPr>
            <w:tcW w:w="6899" w:type="dxa"/>
            <w:tcBorders>
              <w:top w:val="single" w:sz="2" w:space="0" w:color="auto"/>
              <w:left w:val="single" w:sz="2" w:space="0" w:color="auto"/>
              <w:bottom w:val="single" w:sz="2" w:space="0" w:color="auto"/>
              <w:right w:val="single" w:sz="2" w:space="0" w:color="auto"/>
            </w:tcBorders>
          </w:tcPr>
          <w:p w14:paraId="4E99296B" w14:textId="77777777" w:rsidR="00BC0728" w:rsidRPr="008800DF" w:rsidRDefault="00BC0728" w:rsidP="00BC0728">
            <w:pPr>
              <w:numPr>
                <w:ilvl w:val="0"/>
                <w:numId w:val="43"/>
              </w:numPr>
              <w:contextualSpacing/>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t>Strengthens the security and resiliency of the nation’s critical infrastructure against physical and cyber risk, securing federal facilities, building capabilities in the .gov and .com domains and advancing identity management verification.</w:t>
            </w:r>
          </w:p>
          <w:p w14:paraId="64D6C250" w14:textId="77777777" w:rsidR="00BC0728" w:rsidRPr="008800DF" w:rsidRDefault="00BC0728" w:rsidP="00BC0728">
            <w:pPr>
              <w:numPr>
                <w:ilvl w:val="0"/>
                <w:numId w:val="43"/>
              </w:numPr>
              <w:contextualSpacing/>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t>Reduces risks to physical, cyber and communications infrastructures.</w:t>
            </w:r>
          </w:p>
          <w:p w14:paraId="1DE96C1A" w14:textId="77777777" w:rsidR="00BC0728" w:rsidRPr="008800DF" w:rsidRDefault="00BC0728" w:rsidP="00BC0728">
            <w:pPr>
              <w:numPr>
                <w:ilvl w:val="0"/>
                <w:numId w:val="43"/>
              </w:numPr>
              <w:contextualSpacing/>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t>Collaborates with all levels of government, the private sector, non-government organizations and international bodies.</w:t>
            </w:r>
          </w:p>
          <w:p w14:paraId="1EE4F0A6" w14:textId="77777777" w:rsidR="00BC0728" w:rsidRPr="008800DF" w:rsidRDefault="00BC0728" w:rsidP="00BC0728">
            <w:pPr>
              <w:numPr>
                <w:ilvl w:val="0"/>
                <w:numId w:val="43"/>
              </w:numPr>
              <w:contextualSpacing/>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t>Prevents, responds to and mitigates threats to U.S. national security from acts of terrorism, natural disasters and other catastrophic events.</w:t>
            </w:r>
          </w:p>
          <w:p w14:paraId="4FF0C38E" w14:textId="77777777" w:rsidR="00BC0728" w:rsidRPr="008800DF" w:rsidRDefault="00BC0728" w:rsidP="00E4729D">
            <w:pPr>
              <w:jc w:val="both"/>
              <w:rPr>
                <w:rFonts w:asciiTheme="majorHAnsi" w:hAnsiTheme="majorHAnsi" w:cstheme="majorHAnsi"/>
                <w:color w:val="000000"/>
                <w:lang w:val="en"/>
              </w:rPr>
            </w:pPr>
          </w:p>
          <w:p w14:paraId="628B01B7" w14:textId="77777777" w:rsidR="00BC0728" w:rsidRPr="008800DF" w:rsidRDefault="00BC0728" w:rsidP="00E4729D">
            <w:pPr>
              <w:rPr>
                <w:rFonts w:asciiTheme="majorHAnsi" w:hAnsiTheme="majorHAnsi" w:cstheme="majorHAnsi"/>
                <w:color w:val="000000"/>
                <w:lang w:val="en"/>
              </w:rPr>
            </w:pPr>
            <w:r w:rsidRPr="008800DF">
              <w:rPr>
                <w:rFonts w:asciiTheme="majorHAnsi" w:hAnsiTheme="majorHAnsi" w:cstheme="majorHAnsi"/>
                <w:color w:val="000000"/>
                <w:lang w:val="en"/>
              </w:rPr>
              <w:t>The role works closely with the following entities:</w:t>
            </w:r>
          </w:p>
          <w:p w14:paraId="09CDAF3D" w14:textId="77777777" w:rsidR="00BC0728" w:rsidRPr="008800DF" w:rsidRDefault="00BC0728" w:rsidP="00BC0728">
            <w:pPr>
              <w:numPr>
                <w:ilvl w:val="0"/>
                <w:numId w:val="43"/>
              </w:numPr>
              <w:contextualSpacing/>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t>Secretary of Homeland Security</w:t>
            </w:r>
          </w:p>
          <w:p w14:paraId="32C85DE6" w14:textId="77777777" w:rsidR="00BC0728" w:rsidRPr="008800DF" w:rsidRDefault="00BC0728" w:rsidP="00BC0728">
            <w:pPr>
              <w:numPr>
                <w:ilvl w:val="0"/>
                <w:numId w:val="43"/>
              </w:numPr>
              <w:contextualSpacing/>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t>Federal Protective Service (FPS)</w:t>
            </w:r>
          </w:p>
          <w:p w14:paraId="4BC716DF" w14:textId="77777777" w:rsidR="00BC0728" w:rsidRPr="008800DF" w:rsidRDefault="00BC0728" w:rsidP="00BC0728">
            <w:pPr>
              <w:numPr>
                <w:ilvl w:val="0"/>
                <w:numId w:val="43"/>
              </w:numPr>
              <w:contextualSpacing/>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t>Office of Cyber Security and Communications (CS&amp;C)</w:t>
            </w:r>
          </w:p>
          <w:p w14:paraId="2FC54C71" w14:textId="77777777" w:rsidR="00BC0728" w:rsidRPr="008800DF" w:rsidRDefault="00BC0728" w:rsidP="00BC0728">
            <w:pPr>
              <w:numPr>
                <w:ilvl w:val="0"/>
                <w:numId w:val="43"/>
              </w:numPr>
              <w:contextualSpacing/>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t>Office of Infrastructure Protection (IP)</w:t>
            </w:r>
          </w:p>
          <w:p w14:paraId="3F126650" w14:textId="77777777" w:rsidR="00BC0728" w:rsidRPr="008800DF" w:rsidRDefault="00BC0728" w:rsidP="00BC0728">
            <w:pPr>
              <w:numPr>
                <w:ilvl w:val="0"/>
                <w:numId w:val="43"/>
              </w:numPr>
              <w:contextualSpacing/>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lastRenderedPageBreak/>
              <w:t>US-VISIT</w:t>
            </w:r>
          </w:p>
          <w:p w14:paraId="3FEBEE0B" w14:textId="77777777" w:rsidR="00BC0728" w:rsidRPr="008800DF" w:rsidRDefault="00BC0728" w:rsidP="00BC0728">
            <w:pPr>
              <w:numPr>
                <w:ilvl w:val="0"/>
                <w:numId w:val="43"/>
              </w:numPr>
              <w:contextualSpacing/>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t>Private Sector</w:t>
            </w:r>
          </w:p>
          <w:p w14:paraId="5917F3D0" w14:textId="77777777" w:rsidR="00BC0728" w:rsidRPr="008800DF" w:rsidRDefault="00BC0728" w:rsidP="00BC0728">
            <w:pPr>
              <w:numPr>
                <w:ilvl w:val="0"/>
                <w:numId w:val="43"/>
              </w:numPr>
              <w:contextualSpacing/>
              <w:jc w:val="both"/>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t>NGO Community</w:t>
            </w:r>
          </w:p>
        </w:tc>
      </w:tr>
      <w:tr w:rsidR="00BC0728" w:rsidRPr="008800DF" w14:paraId="03C38AD8" w14:textId="77777777" w:rsidTr="00713EED">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16064D9" w14:textId="77777777" w:rsidR="00BC0728" w:rsidRPr="008800DF" w:rsidRDefault="00BC0728" w:rsidP="00E4729D">
            <w:pPr>
              <w:rPr>
                <w:rFonts w:asciiTheme="majorHAnsi" w:hAnsiTheme="majorHAnsi" w:cstheme="majorHAnsi"/>
              </w:rPr>
            </w:pPr>
            <w:r w:rsidRPr="008800DF">
              <w:rPr>
                <w:rFonts w:asciiTheme="majorHAnsi" w:hAnsiTheme="majorHAnsi" w:cstheme="majorHAnsi"/>
              </w:rPr>
              <w:lastRenderedPageBreak/>
              <w:t>Strategic Goals and Priorities</w:t>
            </w:r>
          </w:p>
        </w:tc>
        <w:tc>
          <w:tcPr>
            <w:tcW w:w="6899" w:type="dxa"/>
            <w:tcBorders>
              <w:top w:val="single" w:sz="2" w:space="0" w:color="auto"/>
              <w:left w:val="single" w:sz="2" w:space="0" w:color="auto"/>
              <w:bottom w:val="single" w:sz="2" w:space="0" w:color="auto"/>
              <w:right w:val="single" w:sz="2" w:space="0" w:color="auto"/>
            </w:tcBorders>
            <w:vAlign w:val="center"/>
          </w:tcPr>
          <w:p w14:paraId="03966586" w14:textId="77777777" w:rsidR="00BC0728" w:rsidRPr="008800DF" w:rsidRDefault="00BC0728" w:rsidP="00E4729D">
            <w:pPr>
              <w:rPr>
                <w:rFonts w:asciiTheme="majorHAnsi" w:hAnsiTheme="majorHAnsi" w:cstheme="majorHAnsi"/>
                <w:color w:val="000000"/>
                <w:lang w:val="en"/>
              </w:rPr>
            </w:pPr>
          </w:p>
          <w:p w14:paraId="3BC18585" w14:textId="57A1AF33" w:rsidR="00BC0728" w:rsidRPr="008800DF" w:rsidRDefault="00F94C07" w:rsidP="00E4729D">
            <w:pPr>
              <w:jc w:val="center"/>
              <w:rPr>
                <w:rFonts w:asciiTheme="majorHAnsi" w:hAnsiTheme="majorHAnsi" w:cstheme="majorHAnsi"/>
                <w:color w:val="000000"/>
                <w:lang w:val="en"/>
              </w:rPr>
            </w:pPr>
            <w:r>
              <w:rPr>
                <w:rFonts w:asciiTheme="majorHAnsi" w:hAnsiTheme="majorHAnsi" w:cstheme="majorHAnsi"/>
                <w:color w:val="000000"/>
                <w:lang w:val="en"/>
              </w:rPr>
              <w:t>[</w:t>
            </w:r>
            <w:r w:rsidR="00BC0728" w:rsidRPr="008800DF">
              <w:rPr>
                <w:rFonts w:asciiTheme="majorHAnsi" w:hAnsiTheme="majorHAnsi" w:cstheme="majorHAnsi"/>
                <w:color w:val="000000"/>
                <w:lang w:val="en"/>
              </w:rPr>
              <w:t>Depends on the policy priorities of the administration</w:t>
            </w:r>
            <w:r>
              <w:rPr>
                <w:rFonts w:asciiTheme="majorHAnsi" w:hAnsiTheme="majorHAnsi" w:cstheme="majorHAnsi"/>
                <w:color w:val="000000"/>
                <w:lang w:val="en"/>
              </w:rPr>
              <w:t>.]</w:t>
            </w:r>
          </w:p>
          <w:p w14:paraId="5769753D" w14:textId="77777777" w:rsidR="00BC0728" w:rsidRPr="008800DF" w:rsidRDefault="00BC0728" w:rsidP="00E4729D">
            <w:pPr>
              <w:rPr>
                <w:rFonts w:asciiTheme="majorHAnsi" w:hAnsiTheme="majorHAnsi" w:cstheme="majorHAnsi"/>
                <w:color w:val="000000"/>
                <w:lang w:val="en"/>
              </w:rPr>
            </w:pPr>
          </w:p>
        </w:tc>
      </w:tr>
      <w:tr w:rsidR="00BC0728" w:rsidRPr="008800DF" w14:paraId="6F8B9E99" w14:textId="77777777" w:rsidTr="00713EED">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FB2203C" w14:textId="77777777" w:rsidR="00BC0728" w:rsidRPr="008800DF" w:rsidRDefault="00BC0728" w:rsidP="00E4729D">
            <w:pPr>
              <w:jc w:val="center"/>
              <w:rPr>
                <w:rFonts w:asciiTheme="majorHAnsi" w:hAnsiTheme="majorHAnsi" w:cstheme="majorHAnsi"/>
                <w:b/>
              </w:rPr>
            </w:pPr>
            <w:r w:rsidRPr="008800DF">
              <w:rPr>
                <w:rFonts w:asciiTheme="majorHAnsi" w:hAnsiTheme="majorHAnsi" w:cstheme="majorHAnsi"/>
                <w:b/>
              </w:rPr>
              <w:t>REQUIREMENTS AND COMPETENCIES</w:t>
            </w:r>
          </w:p>
        </w:tc>
      </w:tr>
      <w:tr w:rsidR="00BC0728" w:rsidRPr="008800DF" w14:paraId="3E8291C2" w14:textId="77777777" w:rsidTr="00713EED">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A5036B6" w14:textId="77777777" w:rsidR="00BC0728" w:rsidRPr="008800DF" w:rsidRDefault="00BC0728" w:rsidP="00E4729D">
            <w:pPr>
              <w:rPr>
                <w:rFonts w:asciiTheme="majorHAnsi" w:hAnsiTheme="majorHAnsi" w:cstheme="majorHAnsi"/>
              </w:rPr>
            </w:pPr>
            <w:r w:rsidRPr="008800DF">
              <w:rPr>
                <w:rFonts w:asciiTheme="majorHAnsi" w:hAnsiTheme="majorHAnsi" w:cstheme="majorHAnsi"/>
              </w:rPr>
              <w:t>Requirements</w:t>
            </w:r>
          </w:p>
        </w:tc>
        <w:tc>
          <w:tcPr>
            <w:tcW w:w="6899" w:type="dxa"/>
            <w:tcBorders>
              <w:top w:val="single" w:sz="2" w:space="0" w:color="auto"/>
              <w:left w:val="single" w:sz="2" w:space="0" w:color="auto"/>
              <w:bottom w:val="single" w:sz="2" w:space="0" w:color="auto"/>
              <w:right w:val="single" w:sz="2" w:space="0" w:color="auto"/>
            </w:tcBorders>
          </w:tcPr>
          <w:p w14:paraId="524FC9F2" w14:textId="54EEC23C" w:rsidR="00BC0728" w:rsidRPr="008800DF" w:rsidRDefault="00BC0728" w:rsidP="00BC0728">
            <w:pPr>
              <w:numPr>
                <w:ilvl w:val="0"/>
                <w:numId w:val="43"/>
              </w:numPr>
              <w:contextualSpacing/>
              <w:jc w:val="both"/>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t>Effective emergency management and communications skills</w:t>
            </w:r>
            <w:r w:rsidR="007D320A">
              <w:rPr>
                <w:rFonts w:asciiTheme="majorHAnsi" w:eastAsia="Calibri" w:hAnsiTheme="majorHAnsi" w:cstheme="majorHAnsi"/>
                <w:color w:val="000000"/>
                <w:lang w:val="en"/>
              </w:rPr>
              <w:t>.</w:t>
            </w:r>
          </w:p>
          <w:p w14:paraId="5A031CFB" w14:textId="669E59A7" w:rsidR="00BC0728" w:rsidRPr="008800DF" w:rsidRDefault="00BC0728" w:rsidP="00BC0728">
            <w:pPr>
              <w:numPr>
                <w:ilvl w:val="0"/>
                <w:numId w:val="43"/>
              </w:numPr>
              <w:contextualSpacing/>
              <w:jc w:val="both"/>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t>Exceptional leadership and business skills</w:t>
            </w:r>
            <w:r w:rsidR="007D320A">
              <w:rPr>
                <w:rFonts w:asciiTheme="majorHAnsi" w:eastAsia="Calibri" w:hAnsiTheme="majorHAnsi" w:cstheme="majorHAnsi"/>
                <w:color w:val="000000"/>
                <w:lang w:val="en"/>
              </w:rPr>
              <w:t>.</w:t>
            </w:r>
          </w:p>
          <w:p w14:paraId="447BC1BE" w14:textId="63E23E0C" w:rsidR="00BC0728" w:rsidRPr="008800DF" w:rsidRDefault="00BC0728" w:rsidP="00BC0728">
            <w:pPr>
              <w:numPr>
                <w:ilvl w:val="0"/>
                <w:numId w:val="43"/>
              </w:numPr>
              <w:contextualSpacing/>
              <w:jc w:val="both"/>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t>Risk management skills</w:t>
            </w:r>
            <w:r w:rsidR="007D320A">
              <w:rPr>
                <w:rFonts w:asciiTheme="majorHAnsi" w:eastAsia="Calibri" w:hAnsiTheme="majorHAnsi" w:cstheme="majorHAnsi"/>
                <w:color w:val="000000"/>
                <w:lang w:val="en"/>
              </w:rPr>
              <w:t>.</w:t>
            </w:r>
          </w:p>
          <w:p w14:paraId="5AC479D4" w14:textId="79733F27" w:rsidR="00BC0728" w:rsidRPr="008800DF" w:rsidRDefault="00BC0728" w:rsidP="00BC0728">
            <w:pPr>
              <w:numPr>
                <w:ilvl w:val="0"/>
                <w:numId w:val="43"/>
              </w:numPr>
              <w:contextualSpacing/>
              <w:jc w:val="both"/>
              <w:rPr>
                <w:rFonts w:asciiTheme="majorHAnsi" w:eastAsia="Calibri" w:hAnsiTheme="majorHAnsi" w:cstheme="majorHAnsi"/>
                <w:color w:val="000000"/>
                <w:lang w:val="en"/>
              </w:rPr>
            </w:pPr>
            <w:r w:rsidRPr="008800DF">
              <w:rPr>
                <w:rFonts w:asciiTheme="majorHAnsi" w:eastAsia="Calibri" w:hAnsiTheme="majorHAnsi" w:cstheme="majorHAnsi"/>
                <w:color w:val="000000"/>
                <w:lang w:val="en"/>
              </w:rPr>
              <w:t>Strong communications and media skills</w:t>
            </w:r>
            <w:r w:rsidR="007D320A">
              <w:rPr>
                <w:rFonts w:asciiTheme="majorHAnsi" w:eastAsia="Calibri" w:hAnsiTheme="majorHAnsi" w:cstheme="majorHAnsi"/>
                <w:color w:val="000000"/>
                <w:lang w:val="en"/>
              </w:rPr>
              <w:t>.</w:t>
            </w:r>
          </w:p>
        </w:tc>
      </w:tr>
      <w:tr w:rsidR="00BC0728" w:rsidRPr="008800DF" w14:paraId="3D37644F" w14:textId="77777777" w:rsidTr="00713EED">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21E8DDA" w14:textId="77777777" w:rsidR="00BC0728" w:rsidRPr="008800DF" w:rsidRDefault="00BC0728" w:rsidP="00E4729D">
            <w:pPr>
              <w:rPr>
                <w:rFonts w:asciiTheme="majorHAnsi" w:hAnsiTheme="majorHAnsi" w:cstheme="majorHAnsi"/>
              </w:rPr>
            </w:pPr>
            <w:r w:rsidRPr="008800DF">
              <w:rPr>
                <w:rFonts w:asciiTheme="majorHAnsi" w:hAnsiTheme="majorHAnsi" w:cstheme="majorHAnsi"/>
              </w:rPr>
              <w:t>Competencies</w:t>
            </w:r>
          </w:p>
        </w:tc>
        <w:tc>
          <w:tcPr>
            <w:tcW w:w="6899" w:type="dxa"/>
            <w:tcBorders>
              <w:top w:val="single" w:sz="2" w:space="0" w:color="auto"/>
              <w:left w:val="single" w:sz="2" w:space="0" w:color="auto"/>
              <w:bottom w:val="single" w:sz="2" w:space="0" w:color="auto"/>
              <w:right w:val="single" w:sz="2" w:space="0" w:color="auto"/>
            </w:tcBorders>
          </w:tcPr>
          <w:p w14:paraId="5934BDE2" w14:textId="77777777" w:rsidR="00BC0728" w:rsidRPr="00273605" w:rsidRDefault="00BC0728" w:rsidP="00BC0728">
            <w:pPr>
              <w:numPr>
                <w:ilvl w:val="0"/>
                <w:numId w:val="43"/>
              </w:numPr>
              <w:contextualSpacing/>
              <w:rPr>
                <w:rFonts w:asciiTheme="majorHAnsi" w:eastAsia="Calibri" w:hAnsiTheme="majorHAnsi" w:cstheme="majorHAnsi"/>
                <w:iCs/>
                <w:color w:val="000000"/>
                <w:lang w:val="en"/>
              </w:rPr>
            </w:pPr>
            <w:r w:rsidRPr="00273605">
              <w:rPr>
                <w:rFonts w:asciiTheme="majorHAnsi" w:eastAsia="Calibri" w:hAnsiTheme="majorHAnsi" w:cstheme="majorHAnsi"/>
                <w:iCs/>
                <w:color w:val="000000"/>
                <w:lang w:val="en"/>
              </w:rPr>
              <w:t>Strategic Orientation: Demonstrates complex thinking abilities, incorporating both analytical and conceptual abilities to manage and develop plans and strategies.</w:t>
            </w:r>
          </w:p>
          <w:p w14:paraId="57657133" w14:textId="77777777" w:rsidR="00BC0728" w:rsidRPr="00273605" w:rsidRDefault="00BC0728" w:rsidP="00BC0728">
            <w:pPr>
              <w:numPr>
                <w:ilvl w:val="0"/>
                <w:numId w:val="43"/>
              </w:numPr>
              <w:contextualSpacing/>
              <w:rPr>
                <w:rFonts w:asciiTheme="majorHAnsi" w:eastAsia="Calibri" w:hAnsiTheme="majorHAnsi" w:cstheme="majorHAnsi"/>
                <w:iCs/>
                <w:color w:val="000000"/>
                <w:lang w:val="en"/>
              </w:rPr>
            </w:pPr>
            <w:r w:rsidRPr="00273605">
              <w:rPr>
                <w:rFonts w:asciiTheme="majorHAnsi" w:eastAsia="Calibri" w:hAnsiTheme="majorHAnsi" w:cstheme="majorHAnsi"/>
                <w:iCs/>
                <w:color w:val="000000"/>
                <w:lang w:val="en"/>
              </w:rPr>
              <w:t>Results Orientation: Drive for improvement of results demonstrated by a track record of substantially enhancing performance or organizations.</w:t>
            </w:r>
          </w:p>
          <w:p w14:paraId="69B49328" w14:textId="77777777" w:rsidR="00BC0728" w:rsidRPr="00273605" w:rsidRDefault="00BC0728" w:rsidP="00BC0728">
            <w:pPr>
              <w:numPr>
                <w:ilvl w:val="0"/>
                <w:numId w:val="43"/>
              </w:numPr>
              <w:contextualSpacing/>
              <w:rPr>
                <w:rFonts w:asciiTheme="majorHAnsi" w:eastAsia="Calibri" w:hAnsiTheme="majorHAnsi" w:cstheme="majorHAnsi"/>
                <w:iCs/>
                <w:color w:val="000000"/>
                <w:lang w:val="en"/>
              </w:rPr>
            </w:pPr>
            <w:r w:rsidRPr="00273605">
              <w:rPr>
                <w:rFonts w:asciiTheme="majorHAnsi" w:eastAsia="Calibri" w:hAnsiTheme="majorHAnsi" w:cstheme="majorHAnsi"/>
                <w:iCs/>
                <w:color w:val="000000"/>
                <w:lang w:val="en"/>
              </w:rPr>
              <w:t>Team Leadership: Can focus, align and build effective groups.</w:t>
            </w:r>
          </w:p>
          <w:p w14:paraId="4F7E595F" w14:textId="77777777" w:rsidR="00BC0728" w:rsidRPr="008800DF" w:rsidRDefault="00BC0728" w:rsidP="00BC0728">
            <w:pPr>
              <w:numPr>
                <w:ilvl w:val="0"/>
                <w:numId w:val="43"/>
              </w:numPr>
              <w:contextualSpacing/>
              <w:rPr>
                <w:rFonts w:asciiTheme="majorHAnsi" w:eastAsia="Calibri" w:hAnsiTheme="majorHAnsi" w:cstheme="majorHAnsi"/>
                <w:color w:val="000000"/>
                <w:lang w:val="en"/>
              </w:rPr>
            </w:pPr>
            <w:r w:rsidRPr="00273605">
              <w:rPr>
                <w:rFonts w:asciiTheme="majorHAnsi" w:eastAsia="Calibri" w:hAnsiTheme="majorHAnsi" w:cstheme="majorHAnsi"/>
                <w:iCs/>
                <w:color w:val="000000"/>
                <w:lang w:val="en"/>
              </w:rPr>
              <w:t>Collaboration &amp; Influencing: Works effectively with peers, partners and others who are not in the line of command.</w:t>
            </w:r>
          </w:p>
        </w:tc>
      </w:tr>
      <w:tr w:rsidR="00684398" w:rsidRPr="008800DF" w14:paraId="2CE466D1" w14:textId="77777777" w:rsidTr="00713EED">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10FF987" w14:textId="77777777" w:rsidR="00684398" w:rsidRPr="008800DF" w:rsidRDefault="00684398" w:rsidP="00684398">
            <w:pPr>
              <w:jc w:val="center"/>
              <w:rPr>
                <w:rFonts w:asciiTheme="majorHAnsi" w:hAnsiTheme="majorHAnsi" w:cstheme="majorHAnsi"/>
                <w:b/>
              </w:rPr>
            </w:pPr>
            <w:r w:rsidRPr="008800DF">
              <w:rPr>
                <w:rFonts w:asciiTheme="majorHAnsi" w:hAnsiTheme="majorHAnsi" w:cstheme="majorHAnsi"/>
                <w:b/>
              </w:rPr>
              <w:t>PAST APPOINTEES</w:t>
            </w:r>
          </w:p>
        </w:tc>
      </w:tr>
      <w:tr w:rsidR="00EB1666" w:rsidRPr="008800DF" w14:paraId="4ED91EC9" w14:textId="77777777" w:rsidTr="00713EED">
        <w:tc>
          <w:tcPr>
            <w:tcW w:w="9630" w:type="dxa"/>
            <w:gridSpan w:val="2"/>
          </w:tcPr>
          <w:p w14:paraId="4E207945" w14:textId="2CCA995A" w:rsidR="00EB1666" w:rsidRPr="008800DF" w:rsidRDefault="00EB1666" w:rsidP="00F547F2">
            <w:pPr>
              <w:rPr>
                <w:rFonts w:asciiTheme="majorHAnsi" w:hAnsiTheme="majorHAnsi" w:cstheme="majorHAnsi"/>
                <w:color w:val="000000"/>
                <w:lang w:val="en"/>
              </w:rPr>
            </w:pPr>
            <w:r>
              <w:rPr>
                <w:rFonts w:asciiTheme="majorHAnsi" w:hAnsiTheme="majorHAnsi" w:cstheme="majorHAnsi"/>
                <w:color w:val="000000"/>
                <w:lang w:val="en"/>
              </w:rPr>
              <w:t>Chris Krebs, (</w:t>
            </w:r>
            <w:r w:rsidR="005D05D2">
              <w:rPr>
                <w:rFonts w:asciiTheme="majorHAnsi" w:hAnsiTheme="majorHAnsi" w:cstheme="majorHAnsi"/>
                <w:color w:val="000000"/>
                <w:lang w:val="en"/>
              </w:rPr>
              <w:t xml:space="preserve">2018 – 2020) </w:t>
            </w:r>
            <w:r w:rsidR="001B2292">
              <w:rPr>
                <w:rFonts w:asciiTheme="majorHAnsi" w:hAnsiTheme="majorHAnsi" w:cstheme="majorHAnsi"/>
                <w:color w:val="000000"/>
                <w:lang w:val="en"/>
              </w:rPr>
              <w:t>–</w:t>
            </w:r>
            <w:r w:rsidR="005D05D2">
              <w:rPr>
                <w:rFonts w:asciiTheme="majorHAnsi" w:hAnsiTheme="majorHAnsi" w:cstheme="majorHAnsi"/>
                <w:color w:val="000000"/>
                <w:lang w:val="en"/>
              </w:rPr>
              <w:t xml:space="preserve"> </w:t>
            </w:r>
            <w:r w:rsidR="001B2292">
              <w:rPr>
                <w:rFonts w:asciiTheme="majorHAnsi" w:hAnsiTheme="majorHAnsi" w:cstheme="majorHAnsi"/>
                <w:color w:val="000000"/>
                <w:lang w:val="en"/>
              </w:rPr>
              <w:t>Assistant Secretary for Infrastructure Protection</w:t>
            </w:r>
            <w:r w:rsidR="005F13A0">
              <w:rPr>
                <w:rFonts w:asciiTheme="majorHAnsi" w:hAnsiTheme="majorHAnsi" w:cstheme="majorHAnsi"/>
                <w:color w:val="000000"/>
                <w:lang w:val="en"/>
              </w:rPr>
              <w:t>, Department of Homeland Security;</w:t>
            </w:r>
            <w:r w:rsidR="00300EEF">
              <w:rPr>
                <w:rFonts w:asciiTheme="majorHAnsi" w:hAnsiTheme="majorHAnsi" w:cstheme="majorHAnsi"/>
                <w:color w:val="000000"/>
                <w:lang w:val="en"/>
              </w:rPr>
              <w:t xml:space="preserve"> Senior Counselor, Department of Homeland Security;</w:t>
            </w:r>
            <w:r w:rsidR="00CB44DB">
              <w:rPr>
                <w:rFonts w:asciiTheme="majorHAnsi" w:hAnsiTheme="majorHAnsi" w:cstheme="majorHAnsi"/>
                <w:color w:val="000000"/>
                <w:lang w:val="en"/>
              </w:rPr>
              <w:t xml:space="preserve"> Vice Chair, National Cyber Security Alliance; Director, Cybersecurity Policy, Microsoft</w:t>
            </w:r>
          </w:p>
        </w:tc>
      </w:tr>
      <w:bookmarkEnd w:id="0"/>
      <w:tr w:rsidR="00BC0728" w:rsidRPr="008800DF" w14:paraId="7FF5147C" w14:textId="77777777" w:rsidTr="00713EED">
        <w:tc>
          <w:tcPr>
            <w:tcW w:w="9630" w:type="dxa"/>
            <w:gridSpan w:val="2"/>
          </w:tcPr>
          <w:p w14:paraId="5149314C" w14:textId="77777777" w:rsidR="00BC0728" w:rsidRPr="008800DF" w:rsidRDefault="00BC0728" w:rsidP="00F547F2">
            <w:pPr>
              <w:rPr>
                <w:rFonts w:asciiTheme="majorHAnsi" w:hAnsiTheme="majorHAnsi" w:cstheme="majorHAnsi"/>
                <w:color w:val="000000"/>
                <w:lang w:val="en"/>
              </w:rPr>
            </w:pPr>
            <w:r w:rsidRPr="008800DF">
              <w:rPr>
                <w:rFonts w:asciiTheme="majorHAnsi" w:hAnsiTheme="majorHAnsi" w:cstheme="majorHAnsi"/>
                <w:color w:val="000000"/>
                <w:lang w:val="en"/>
              </w:rPr>
              <w:t xml:space="preserve">Suzanne E. Spaulding, (2014 – </w:t>
            </w:r>
            <w:r w:rsidR="00F547F2">
              <w:rPr>
                <w:rFonts w:asciiTheme="majorHAnsi" w:hAnsiTheme="majorHAnsi" w:cstheme="majorHAnsi"/>
                <w:color w:val="000000"/>
                <w:lang w:val="en"/>
              </w:rPr>
              <w:t>2017</w:t>
            </w:r>
            <w:r w:rsidRPr="008800DF">
              <w:rPr>
                <w:rFonts w:asciiTheme="majorHAnsi" w:hAnsiTheme="majorHAnsi" w:cstheme="majorHAnsi"/>
                <w:color w:val="000000"/>
                <w:lang w:val="en"/>
              </w:rPr>
              <w:t>) – Principal in the Bingham Consulting Group; Counsel for Bingham McCutchen LLP; Minority Staff Director for the U.S. House of Representatives Permanent Select Committee on Intelligence; General Counsel, Senate Select Committee on Intelligence</w:t>
            </w:r>
          </w:p>
        </w:tc>
      </w:tr>
      <w:tr w:rsidR="00BC0728" w:rsidRPr="008800DF" w14:paraId="79991583" w14:textId="77777777" w:rsidTr="00713EED">
        <w:tc>
          <w:tcPr>
            <w:tcW w:w="9630" w:type="dxa"/>
            <w:gridSpan w:val="2"/>
          </w:tcPr>
          <w:p w14:paraId="781FDE1E" w14:textId="77777777" w:rsidR="00BC0728" w:rsidRPr="008800DF" w:rsidRDefault="00BC0728" w:rsidP="00E4729D">
            <w:pPr>
              <w:rPr>
                <w:rFonts w:asciiTheme="majorHAnsi" w:hAnsiTheme="majorHAnsi" w:cstheme="majorHAnsi"/>
                <w:color w:val="000000"/>
                <w:lang w:val="en"/>
              </w:rPr>
            </w:pPr>
            <w:r w:rsidRPr="008800DF">
              <w:rPr>
                <w:rFonts w:asciiTheme="majorHAnsi" w:hAnsiTheme="majorHAnsi" w:cstheme="majorHAnsi"/>
                <w:color w:val="000000"/>
                <w:lang w:val="en"/>
              </w:rPr>
              <w:t>Rand Beers, (2010 – 2014) – Counselor to Secretary Janet Napolitano; Co-leader of the Department of Homeland Security Transition Team; President of the National Security Network</w:t>
            </w:r>
          </w:p>
        </w:tc>
      </w:tr>
    </w:tbl>
    <w:p w14:paraId="67DD64B1" w14:textId="77777777" w:rsidR="00B82388" w:rsidRDefault="00B82388" w:rsidP="00B82388">
      <w:pPr>
        <w:pStyle w:val="Heading1"/>
        <w:rPr>
          <w:rFonts w:eastAsia="Times New Roman"/>
          <w:sz w:val="20"/>
          <w:szCs w:val="20"/>
        </w:rPr>
      </w:pPr>
      <w:r>
        <w:rPr>
          <w:rFonts w:eastAsia="Times New Roman"/>
          <w:sz w:val="20"/>
          <w:szCs w:val="20"/>
        </w:rPr>
        <w:t>Endnotes</w:t>
      </w:r>
    </w:p>
    <w:p w14:paraId="336CD7CF" w14:textId="77777777" w:rsidR="00224D1E" w:rsidRPr="008800DF" w:rsidRDefault="00B82388">
      <w:pPr>
        <w:rPr>
          <w:rFonts w:eastAsiaTheme="minorHAnsi"/>
        </w:rPr>
      </w:pPr>
      <w:r>
        <w:rPr>
          <w:rFonts w:ascii="Arial" w:hAnsi="Arial" w:cs="Arial"/>
        </w:rPr>
        <w:t>This position description was created with the help of Egon Zehnder, a global executive search firm.</w:t>
      </w:r>
    </w:p>
    <w:sectPr w:rsidR="00224D1E" w:rsidRPr="008800DF" w:rsidSect="00713EED">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576"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0954" w14:textId="77777777" w:rsidR="00934DCC" w:rsidRDefault="00934DCC" w:rsidP="001E22F1">
      <w:r>
        <w:separator/>
      </w:r>
    </w:p>
  </w:endnote>
  <w:endnote w:type="continuationSeparator" w:id="0">
    <w:p w14:paraId="067011B5" w14:textId="77777777" w:rsidR="00934DCC" w:rsidRDefault="00934DCC" w:rsidP="001E22F1">
      <w:r>
        <w:continuationSeparator/>
      </w:r>
    </w:p>
  </w:endnote>
  <w:endnote w:id="1">
    <w:p w14:paraId="5C507B3E" w14:textId="18D2E9BB" w:rsidR="0099690A" w:rsidRDefault="0099690A">
      <w:pPr>
        <w:pStyle w:val="EndnoteText"/>
      </w:pPr>
      <w:r>
        <w:rPr>
          <w:rStyle w:val="EndnoteReference"/>
        </w:rPr>
        <w:endnoteRef/>
      </w:r>
      <w:r>
        <w:t xml:space="preserve"> </w:t>
      </w:r>
      <w:r w:rsidRPr="0099690A">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Pr="0099690A">
          <w:rPr>
            <w:rStyle w:val="Hyperlink"/>
          </w:rPr>
          <w:t>here</w:t>
        </w:r>
      </w:hyperlink>
      <w:r w:rsidRPr="0099690A">
        <w:t>. If you are selected for this position, please consult the agency’s HR representative for further guidance on compensation.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notTrueType/>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50E3" w14:textId="77777777"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14:paraId="0A321858" w14:textId="77777777" w:rsidR="00B30DE2" w:rsidRDefault="00B30DE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C483" w14:textId="756B3A44" w:rsidR="00B30DE2" w:rsidRPr="00B64A22" w:rsidRDefault="0099690A" w:rsidP="00713EED">
    <w:pPr>
      <w:pStyle w:val="TGAppendixBodyHeaders"/>
      <w:jc w:val="right"/>
      <w:rPr>
        <w:rFonts w:ascii="Arial" w:hAnsi="Arial" w:cs="Arial"/>
        <w:b/>
      </w:rPr>
    </w:pPr>
    <w:r>
      <w:rPr>
        <w:rFonts w:ascii="Arial" w:hAnsi="Arial" w:cs="Arial"/>
      </w:rPr>
      <w:t>presidentialtransition.org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892B" w14:textId="77777777"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374B" w14:textId="77777777" w:rsidR="00934DCC" w:rsidRDefault="00934DCC" w:rsidP="001E22F1">
      <w:r>
        <w:separator/>
      </w:r>
    </w:p>
  </w:footnote>
  <w:footnote w:type="continuationSeparator" w:id="0">
    <w:p w14:paraId="47A0E6F2" w14:textId="77777777" w:rsidR="00934DCC" w:rsidRDefault="00934DCC"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707C" w14:textId="77777777" w:rsidR="00B30DE2" w:rsidRPr="00CA0F50" w:rsidRDefault="00934DCC"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101D" w14:textId="253C04A5" w:rsidR="00B30DE2" w:rsidRPr="00207063" w:rsidRDefault="0099690A" w:rsidP="00713EED">
    <w:pPr>
      <w:pStyle w:val="Header"/>
      <w:tabs>
        <w:tab w:val="clear" w:pos="4680"/>
      </w:tabs>
      <w:jc w:val="right"/>
      <w:rPr>
        <w:rFonts w:ascii="Arial" w:hAnsi="Arial" w:cs="Arial"/>
        <w:caps/>
        <w:sz w:val="16"/>
        <w:szCs w:val="16"/>
      </w:rPr>
    </w:pPr>
    <w:r>
      <w:rPr>
        <w:rFonts w:ascii="Arial" w:hAnsi="Arial" w:cs="Arial"/>
        <w:caps/>
        <w:sz w:val="16"/>
        <w:szCs w:val="16"/>
      </w:rPr>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0823" w14:textId="2A4BEF97" w:rsidR="00B30DE2" w:rsidRPr="00A70128" w:rsidRDefault="00A70128" w:rsidP="00713EED">
    <w:pPr>
      <w:pStyle w:val="Header"/>
      <w:ind w:hanging="360"/>
    </w:pPr>
    <w:r>
      <w:rPr>
        <w:rFonts w:ascii="Arial" w:hAnsi="Arial" w:cs="Arial"/>
        <w:noProof/>
      </w:rPr>
      <w:drawing>
        <wp:inline distT="0" distB="0" distL="0" distR="0" wp14:anchorId="3E334F6B" wp14:editId="591B85B7">
          <wp:extent cx="3116826" cy="35403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769" cy="3622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83214"/>
    <w:multiLevelType w:val="hybridMultilevel"/>
    <w:tmpl w:val="D37CDE9A"/>
    <w:lvl w:ilvl="0" w:tplc="3962CA5A">
      <w:numFmt w:val="bullet"/>
      <w:lvlText w:val="•"/>
      <w:lvlJc w:val="left"/>
      <w:pPr>
        <w:ind w:left="432" w:hanging="288"/>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2"/>
  </w:num>
  <w:num w:numId="5">
    <w:abstractNumId w:val="5"/>
  </w:num>
  <w:num w:numId="6">
    <w:abstractNumId w:val="38"/>
  </w:num>
  <w:num w:numId="7">
    <w:abstractNumId w:val="4"/>
  </w:num>
  <w:num w:numId="8">
    <w:abstractNumId w:val="33"/>
  </w:num>
  <w:num w:numId="9">
    <w:abstractNumId w:val="14"/>
  </w:num>
  <w:num w:numId="10">
    <w:abstractNumId w:val="6"/>
  </w:num>
  <w:num w:numId="11">
    <w:abstractNumId w:val="13"/>
  </w:num>
  <w:num w:numId="12">
    <w:abstractNumId w:val="25"/>
  </w:num>
  <w:num w:numId="13">
    <w:abstractNumId w:val="23"/>
  </w:num>
  <w:num w:numId="14">
    <w:abstractNumId w:val="27"/>
  </w:num>
  <w:num w:numId="15">
    <w:abstractNumId w:val="30"/>
  </w:num>
  <w:num w:numId="16">
    <w:abstractNumId w:val="1"/>
  </w:num>
  <w:num w:numId="17">
    <w:abstractNumId w:val="19"/>
  </w:num>
  <w:num w:numId="18">
    <w:abstractNumId w:val="37"/>
  </w:num>
  <w:num w:numId="19">
    <w:abstractNumId w:val="8"/>
  </w:num>
  <w:num w:numId="20">
    <w:abstractNumId w:val="29"/>
  </w:num>
  <w:num w:numId="21">
    <w:abstractNumId w:val="34"/>
  </w:num>
  <w:num w:numId="22">
    <w:abstractNumId w:val="10"/>
  </w:num>
  <w:num w:numId="23">
    <w:abstractNumId w:val="7"/>
  </w:num>
  <w:num w:numId="24">
    <w:abstractNumId w:val="35"/>
  </w:num>
  <w:num w:numId="25">
    <w:abstractNumId w:val="12"/>
  </w:num>
  <w:num w:numId="26">
    <w:abstractNumId w:val="2"/>
  </w:num>
  <w:num w:numId="27">
    <w:abstractNumId w:val="20"/>
  </w:num>
  <w:num w:numId="28">
    <w:abstractNumId w:val="17"/>
  </w:num>
  <w:num w:numId="29">
    <w:abstractNumId w:val="22"/>
  </w:num>
  <w:num w:numId="30">
    <w:abstractNumId w:val="32"/>
  </w:num>
  <w:num w:numId="31">
    <w:abstractNumId w:val="40"/>
  </w:num>
  <w:num w:numId="32">
    <w:abstractNumId w:val="41"/>
  </w:num>
  <w:num w:numId="33">
    <w:abstractNumId w:val="9"/>
  </w:num>
  <w:num w:numId="34">
    <w:abstractNumId w:val="0"/>
  </w:num>
  <w:num w:numId="35">
    <w:abstractNumId w:val="31"/>
  </w:num>
  <w:num w:numId="36">
    <w:abstractNumId w:val="24"/>
  </w:num>
  <w:num w:numId="37">
    <w:abstractNumId w:val="26"/>
  </w:num>
  <w:num w:numId="38">
    <w:abstractNumId w:val="18"/>
  </w:num>
  <w:num w:numId="39">
    <w:abstractNumId w:val="28"/>
  </w:num>
  <w:num w:numId="40">
    <w:abstractNumId w:val="15"/>
  </w:num>
  <w:num w:numId="41">
    <w:abstractNumId w:val="36"/>
  </w:num>
  <w:num w:numId="42">
    <w:abstractNumId w:val="1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2292"/>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73605"/>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0EEF"/>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379F4"/>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0F12"/>
    <w:rsid w:val="004D37D9"/>
    <w:rsid w:val="004D3D04"/>
    <w:rsid w:val="004D6AA7"/>
    <w:rsid w:val="004D7D44"/>
    <w:rsid w:val="004E1C64"/>
    <w:rsid w:val="004E717F"/>
    <w:rsid w:val="004F21A0"/>
    <w:rsid w:val="004F31D5"/>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05D2"/>
    <w:rsid w:val="005D4099"/>
    <w:rsid w:val="005D5806"/>
    <w:rsid w:val="005D5F5A"/>
    <w:rsid w:val="005E6E2F"/>
    <w:rsid w:val="005F13A0"/>
    <w:rsid w:val="005F2771"/>
    <w:rsid w:val="006013AB"/>
    <w:rsid w:val="00602B9F"/>
    <w:rsid w:val="00603EFC"/>
    <w:rsid w:val="00613373"/>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13EED"/>
    <w:rsid w:val="0072243C"/>
    <w:rsid w:val="007237FA"/>
    <w:rsid w:val="00732A91"/>
    <w:rsid w:val="00736EC8"/>
    <w:rsid w:val="00737980"/>
    <w:rsid w:val="00741D94"/>
    <w:rsid w:val="007467DF"/>
    <w:rsid w:val="00756A61"/>
    <w:rsid w:val="00757BC3"/>
    <w:rsid w:val="00760A88"/>
    <w:rsid w:val="00762481"/>
    <w:rsid w:val="0076444F"/>
    <w:rsid w:val="00766DDE"/>
    <w:rsid w:val="007872BC"/>
    <w:rsid w:val="007A377A"/>
    <w:rsid w:val="007B1D32"/>
    <w:rsid w:val="007B6E3E"/>
    <w:rsid w:val="007C73DE"/>
    <w:rsid w:val="007D174B"/>
    <w:rsid w:val="007D1AFF"/>
    <w:rsid w:val="007D320A"/>
    <w:rsid w:val="007D609D"/>
    <w:rsid w:val="007D669F"/>
    <w:rsid w:val="007D70E4"/>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0DF"/>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34DCC"/>
    <w:rsid w:val="0094517E"/>
    <w:rsid w:val="00962B37"/>
    <w:rsid w:val="009630CC"/>
    <w:rsid w:val="0096330D"/>
    <w:rsid w:val="00970EB1"/>
    <w:rsid w:val="00971A5E"/>
    <w:rsid w:val="009720C1"/>
    <w:rsid w:val="009754EA"/>
    <w:rsid w:val="00977755"/>
    <w:rsid w:val="00977835"/>
    <w:rsid w:val="00981574"/>
    <w:rsid w:val="00981585"/>
    <w:rsid w:val="00986AF1"/>
    <w:rsid w:val="0099690A"/>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70128"/>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2388"/>
    <w:rsid w:val="00B8440A"/>
    <w:rsid w:val="00B85C44"/>
    <w:rsid w:val="00B8737B"/>
    <w:rsid w:val="00B92A39"/>
    <w:rsid w:val="00B97B34"/>
    <w:rsid w:val="00BA34BC"/>
    <w:rsid w:val="00BC0728"/>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B44DB"/>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677A7"/>
    <w:rsid w:val="00E70863"/>
    <w:rsid w:val="00E71C0D"/>
    <w:rsid w:val="00E725B6"/>
    <w:rsid w:val="00E7353D"/>
    <w:rsid w:val="00E766C6"/>
    <w:rsid w:val="00E80B5C"/>
    <w:rsid w:val="00E828F9"/>
    <w:rsid w:val="00E90C00"/>
    <w:rsid w:val="00EB1666"/>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547F2"/>
    <w:rsid w:val="00F62141"/>
    <w:rsid w:val="00F67CCF"/>
    <w:rsid w:val="00F71BC1"/>
    <w:rsid w:val="00F82EF1"/>
    <w:rsid w:val="00F84D65"/>
    <w:rsid w:val="00F906D0"/>
    <w:rsid w:val="00F9394B"/>
    <w:rsid w:val="00F94C07"/>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FAB8A"/>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tabs>
        <w:tab w:val="num" w:pos="360"/>
      </w:tabs>
      <w:ind w:left="0" w:firstLine="0"/>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 w:type="character" w:styleId="UnresolvedMention">
    <w:name w:val="Unresolved Mention"/>
    <w:basedOn w:val="DefaultParagraphFont"/>
    <w:uiPriority w:val="99"/>
    <w:semiHidden/>
    <w:unhideWhenUsed/>
    <w:rsid w:val="00996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79779546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1626541985">
      <w:bodyDiv w:val="1"/>
      <w:marLeft w:val="0"/>
      <w:marRight w:val="0"/>
      <w:marTop w:val="0"/>
      <w:marBottom w:val="0"/>
      <w:divBdr>
        <w:top w:val="none" w:sz="0" w:space="0" w:color="auto"/>
        <w:left w:val="none" w:sz="0" w:space="0" w:color="auto"/>
        <w:bottom w:val="none" w:sz="0" w:space="0" w:color="auto"/>
        <w:right w:val="none" w:sz="0" w:space="0" w:color="auto"/>
      </w:divBdr>
    </w:div>
    <w:div w:id="1910966547">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notTrueType/>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71ACA"/>
    <w:rsid w:val="000A6631"/>
    <w:rsid w:val="001C76A9"/>
    <w:rsid w:val="001E4D58"/>
    <w:rsid w:val="002355E4"/>
    <w:rsid w:val="004B4C8F"/>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22739"/>
    <w:rsid w:val="00D4302A"/>
    <w:rsid w:val="00DB07EE"/>
    <w:rsid w:val="00E43607"/>
    <w:rsid w:val="00E84C2A"/>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FADA1-F880-43AD-A00C-5DA45F16EF5C}">
  <ds:schemaRefs>
    <ds:schemaRef ds:uri="http://schemas.openxmlformats.org/officeDocument/2006/bibliography"/>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s>
</ds:datastoreItem>
</file>

<file path=customXml/itemProps3.xml><?xml version="1.0" encoding="utf-8"?>
<ds:datastoreItem xmlns:ds="http://schemas.openxmlformats.org/officeDocument/2006/customXml" ds:itemID="{D46F5028-990A-497F-BD4C-5ED1BA19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9089F-841C-4977-A267-76252DC3B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13</cp:revision>
  <cp:lastPrinted>2016-07-12T18:00:00Z</cp:lastPrinted>
  <dcterms:created xsi:type="dcterms:W3CDTF">2021-03-11T19:08:00Z</dcterms:created>
  <dcterms:modified xsi:type="dcterms:W3CDTF">2021-05-04T15:39:00Z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