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4A" w:rsidRPr="002128DF" w:rsidRDefault="0076004A" w:rsidP="00FF7EA3">
      <w:pPr>
        <w:spacing w:before="480"/>
        <w:rPr>
          <w:rFonts w:ascii="Arial" w:eastAsiaTheme="majorEastAsia" w:hAnsi="Arial" w:cstheme="majorBidi"/>
          <w:bCs/>
          <w:caps/>
          <w:sz w:val="20"/>
          <w:szCs w:val="20"/>
        </w:rPr>
      </w:pPr>
      <w:bookmarkStart w:id="0" w:name="_Toc465779643"/>
      <w:r w:rsidRPr="002128DF">
        <w:rPr>
          <w:rFonts w:ascii="Arial" w:eastAsiaTheme="majorEastAsia" w:hAnsi="Arial" w:cstheme="majorBidi"/>
          <w:bCs/>
          <w:caps/>
          <w:sz w:val="20"/>
          <w:szCs w:val="20"/>
        </w:rPr>
        <w:t>POSITION DESCRIPTION</w:t>
      </w:r>
      <w:bookmarkEnd w:id="0"/>
    </w:p>
    <w:p w:rsidR="0076004A" w:rsidRPr="002128DF" w:rsidRDefault="0076004A" w:rsidP="0076004A">
      <w:pPr>
        <w:keepNext/>
        <w:keepLines/>
        <w:pBdr>
          <w:bottom w:val="single" w:sz="4" w:space="1" w:color="003055" w:themeColor="text1"/>
        </w:pBdr>
        <w:tabs>
          <w:tab w:val="left" w:pos="4016"/>
        </w:tabs>
        <w:spacing w:before="120" w:after="120"/>
        <w:outlineLvl w:val="0"/>
        <w:rPr>
          <w:rFonts w:ascii="Arial" w:eastAsiaTheme="majorEastAsia" w:hAnsi="Arial" w:cstheme="majorBidi"/>
          <w:b/>
          <w:bCs/>
          <w:caps/>
          <w:sz w:val="26"/>
          <w:szCs w:val="24"/>
        </w:rPr>
      </w:pPr>
      <w:bookmarkStart w:id="1" w:name="_under_secretary_of_2"/>
      <w:bookmarkEnd w:id="1"/>
      <w:r>
        <w:rPr>
          <w:rFonts w:ascii="Arial" w:eastAsiaTheme="majorEastAsia" w:hAnsi="Arial" w:cstheme="majorBidi"/>
          <w:b/>
          <w:bCs/>
          <w:caps/>
          <w:sz w:val="26"/>
          <w:szCs w:val="24"/>
        </w:rPr>
        <w:t>Deputy Administrator of the Federal Emergency Management Agency, Department of Homeland Security</w:t>
      </w:r>
    </w:p>
    <w:p w:rsidR="0076004A" w:rsidRPr="002128DF" w:rsidRDefault="0076004A" w:rsidP="0076004A"/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6624"/>
      </w:tblGrid>
      <w:tr w:rsidR="00DB6DD9" w:rsidRPr="00FF7EA3" w:rsidTr="00DF277B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76004A" w:rsidRPr="00FF7EA3" w:rsidRDefault="0076004A" w:rsidP="00DF277B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7EA3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DB6DD9" w:rsidRPr="00FF7EA3" w:rsidTr="00DF277B"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Senate Committee</w:t>
            </w:r>
          </w:p>
        </w:tc>
        <w:tc>
          <w:tcPr>
            <w:tcW w:w="6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FF7EA3">
              <w:rPr>
                <w:rFonts w:asciiTheme="majorHAnsi" w:hAnsiTheme="majorHAnsi" w:cstheme="majorHAnsi"/>
                <w:bCs/>
              </w:rPr>
              <w:t>Homeland Security and Governmental Affairs</w:t>
            </w:r>
          </w:p>
        </w:tc>
      </w:tr>
      <w:tr w:rsidR="00DB6DD9" w:rsidRPr="00FF7EA3" w:rsidTr="00DF277B"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4A" w:rsidRPr="00FF7EA3" w:rsidRDefault="00F7315C" w:rsidP="00F7315C">
            <w:pPr>
              <w:pStyle w:val="p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F7EA3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To ensure that homeland is safe, secure and resilient against terrorism and other potential threats</w:t>
            </w:r>
          </w:p>
        </w:tc>
      </w:tr>
      <w:tr w:rsidR="00DB6DD9" w:rsidRPr="00FF7EA3" w:rsidTr="00DF277B"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4A" w:rsidRPr="00FF7EA3" w:rsidRDefault="00F7315C" w:rsidP="00E641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Assists the administrator in leading FEMA in its mission to support our citizens and first responders</w:t>
            </w:r>
            <w:r w:rsidR="00E64165" w:rsidRPr="00FF7EA3">
              <w:rPr>
                <w:rFonts w:asciiTheme="majorHAnsi" w:hAnsiTheme="majorHAnsi" w:cstheme="majorHAnsi"/>
              </w:rPr>
              <w:t>,</w:t>
            </w:r>
            <w:r w:rsidRPr="00FF7EA3">
              <w:rPr>
                <w:rFonts w:asciiTheme="majorHAnsi" w:hAnsiTheme="majorHAnsi" w:cstheme="majorHAnsi"/>
              </w:rPr>
              <w:t xml:space="preserve"> to ensure that we work together </w:t>
            </w:r>
            <w:r w:rsidR="00E64165" w:rsidRPr="00FF7EA3">
              <w:rPr>
                <w:rFonts w:asciiTheme="majorHAnsi" w:hAnsiTheme="majorHAnsi" w:cstheme="majorHAnsi"/>
              </w:rPr>
              <w:t xml:space="preserve">as a nation </w:t>
            </w:r>
            <w:r w:rsidRPr="00FF7EA3">
              <w:rPr>
                <w:rFonts w:asciiTheme="majorHAnsi" w:hAnsiTheme="majorHAnsi" w:cstheme="majorHAnsi"/>
              </w:rPr>
              <w:t>to build, sustain and improve our capability to prepare for, protect against, respond to, recover from and mitigate all hazards.</w:t>
            </w:r>
          </w:p>
        </w:tc>
      </w:tr>
      <w:tr w:rsidR="00DB6DD9" w:rsidRPr="00FF7EA3" w:rsidTr="00DF277B"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4A" w:rsidRPr="00FF7EA3" w:rsidRDefault="006D0A3F" w:rsidP="00DF277B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$165,300</w:t>
            </w:r>
            <w:r w:rsidR="0076004A" w:rsidRPr="00FF7EA3">
              <w:rPr>
                <w:rFonts w:asciiTheme="majorHAnsi" w:hAnsiTheme="majorHAnsi" w:cstheme="majorHAnsi"/>
                <w:bCs/>
              </w:rPr>
              <w:t xml:space="preserve"> (</w:t>
            </w:r>
            <w:r w:rsidR="0076004A" w:rsidRPr="00FF7EA3">
              <w:rPr>
                <w:rFonts w:asciiTheme="majorHAnsi" w:hAnsiTheme="majorHAnsi" w:cstheme="majorHAnsi"/>
              </w:rPr>
              <w:t>5 U.S.C. § 5313)</w:t>
            </w:r>
            <w:r w:rsidR="00FF7EA3" w:rsidRPr="00FF7EA3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DB6DD9" w:rsidRPr="00FF7EA3" w:rsidTr="00DF277B"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FEMA Administrat</w:t>
            </w:r>
            <w:r w:rsidR="00F7315C" w:rsidRPr="00FF7EA3">
              <w:rPr>
                <w:rFonts w:asciiTheme="majorHAnsi" w:hAnsiTheme="majorHAnsi" w:cstheme="majorHAnsi"/>
              </w:rPr>
              <w:t>or</w:t>
            </w:r>
          </w:p>
        </w:tc>
      </w:tr>
      <w:tr w:rsidR="00DB6DD9" w:rsidRPr="00FF7EA3" w:rsidTr="00DF277B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76004A" w:rsidRPr="00FF7EA3" w:rsidRDefault="0076004A" w:rsidP="00DF277B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7EA3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DB6DD9" w:rsidRPr="00FF7EA3" w:rsidTr="00DF277B"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4A" w:rsidRPr="00FF7EA3" w:rsidRDefault="00E64165" w:rsidP="00DF277B">
            <w:pPr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FEMA’s k</w:t>
            </w:r>
            <w:r w:rsidR="0076004A" w:rsidRPr="00FF7EA3">
              <w:rPr>
                <w:rFonts w:asciiTheme="majorHAnsi" w:hAnsiTheme="majorHAnsi" w:cstheme="majorHAnsi"/>
              </w:rPr>
              <w:t>ey organizational elements include the Office of the FEMA Administrator, Office of National Capital Region Coordination, Protection and National Preparedness</w:t>
            </w:r>
            <w:r w:rsidRPr="00FF7EA3">
              <w:rPr>
                <w:rFonts w:asciiTheme="majorHAnsi" w:hAnsiTheme="majorHAnsi" w:cstheme="majorHAnsi"/>
              </w:rPr>
              <w:t xml:space="preserve"> office</w:t>
            </w:r>
            <w:r w:rsidR="0076004A" w:rsidRPr="00FF7EA3">
              <w:rPr>
                <w:rFonts w:asciiTheme="majorHAnsi" w:hAnsiTheme="majorHAnsi" w:cstheme="majorHAnsi"/>
              </w:rPr>
              <w:t>, Mission Support, U</w:t>
            </w:r>
            <w:r w:rsidR="009B3010" w:rsidRPr="00FF7EA3">
              <w:rPr>
                <w:rFonts w:asciiTheme="majorHAnsi" w:hAnsiTheme="majorHAnsi" w:cstheme="majorHAnsi"/>
              </w:rPr>
              <w:t>.</w:t>
            </w:r>
            <w:r w:rsidR="0076004A" w:rsidRPr="00FF7EA3">
              <w:rPr>
                <w:rFonts w:asciiTheme="majorHAnsi" w:hAnsiTheme="majorHAnsi" w:cstheme="majorHAnsi"/>
              </w:rPr>
              <w:t>S</w:t>
            </w:r>
            <w:r w:rsidR="009B3010" w:rsidRPr="00FF7EA3">
              <w:rPr>
                <w:rFonts w:asciiTheme="majorHAnsi" w:hAnsiTheme="majorHAnsi" w:cstheme="majorHAnsi"/>
              </w:rPr>
              <w:t>.</w:t>
            </w:r>
            <w:r w:rsidR="0076004A" w:rsidRPr="00FF7EA3">
              <w:rPr>
                <w:rFonts w:asciiTheme="majorHAnsi" w:hAnsiTheme="majorHAnsi" w:cstheme="majorHAnsi"/>
              </w:rPr>
              <w:t xml:space="preserve"> Fire Administration, Federal Insurance and Mitigation Administration</w:t>
            </w:r>
            <w:r w:rsidRPr="00FF7EA3">
              <w:rPr>
                <w:rFonts w:asciiTheme="majorHAnsi" w:hAnsiTheme="majorHAnsi" w:cstheme="majorHAnsi"/>
              </w:rPr>
              <w:t>,</w:t>
            </w:r>
            <w:r w:rsidR="0076004A" w:rsidRPr="00FF7EA3">
              <w:rPr>
                <w:rFonts w:asciiTheme="majorHAnsi" w:hAnsiTheme="majorHAnsi" w:cstheme="majorHAnsi"/>
              </w:rPr>
              <w:t xml:space="preserve"> and Office </w:t>
            </w:r>
            <w:r w:rsidRPr="00FF7EA3">
              <w:rPr>
                <w:rFonts w:asciiTheme="majorHAnsi" w:hAnsiTheme="majorHAnsi" w:cstheme="majorHAnsi"/>
              </w:rPr>
              <w:t xml:space="preserve">of </w:t>
            </w:r>
            <w:r w:rsidR="0076004A" w:rsidRPr="00FF7EA3">
              <w:rPr>
                <w:rFonts w:asciiTheme="majorHAnsi" w:hAnsiTheme="majorHAnsi" w:cstheme="majorHAnsi"/>
              </w:rPr>
              <w:t>Response and Recovery.</w:t>
            </w:r>
          </w:p>
          <w:p w:rsidR="0076004A" w:rsidRPr="00FF7EA3" w:rsidRDefault="0076004A" w:rsidP="00DF277B">
            <w:pPr>
              <w:rPr>
                <w:rFonts w:asciiTheme="majorHAnsi" w:hAnsiTheme="majorHAnsi" w:cstheme="majorHAnsi"/>
              </w:rPr>
            </w:pPr>
          </w:p>
          <w:p w:rsidR="0076004A" w:rsidRPr="00FF7EA3" w:rsidRDefault="0076004A" w:rsidP="001B75D0">
            <w:pPr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In addition to its headquarters in Washington, D</w:t>
            </w:r>
            <w:r w:rsidR="009B3010" w:rsidRPr="00FF7EA3">
              <w:rPr>
                <w:rFonts w:asciiTheme="majorHAnsi" w:hAnsiTheme="majorHAnsi" w:cstheme="majorHAnsi"/>
              </w:rPr>
              <w:t>.</w:t>
            </w:r>
            <w:r w:rsidRPr="00FF7EA3">
              <w:rPr>
                <w:rFonts w:asciiTheme="majorHAnsi" w:hAnsiTheme="majorHAnsi" w:cstheme="majorHAnsi"/>
              </w:rPr>
              <w:t>C</w:t>
            </w:r>
            <w:r w:rsidR="009B3010" w:rsidRPr="00FF7EA3">
              <w:rPr>
                <w:rFonts w:asciiTheme="majorHAnsi" w:hAnsiTheme="majorHAnsi" w:cstheme="majorHAnsi"/>
              </w:rPr>
              <w:t>.</w:t>
            </w:r>
            <w:r w:rsidRPr="00FF7EA3">
              <w:rPr>
                <w:rFonts w:asciiTheme="majorHAnsi" w:hAnsiTheme="majorHAnsi" w:cstheme="majorHAnsi"/>
              </w:rPr>
              <w:t xml:space="preserve">, FEMA has </w:t>
            </w:r>
            <w:r w:rsidR="00E64165" w:rsidRPr="00FF7EA3">
              <w:rPr>
                <w:rFonts w:asciiTheme="majorHAnsi" w:hAnsiTheme="majorHAnsi" w:cstheme="majorHAnsi"/>
              </w:rPr>
              <w:t>10</w:t>
            </w:r>
            <w:r w:rsidRPr="00FF7EA3">
              <w:rPr>
                <w:rFonts w:asciiTheme="majorHAnsi" w:hAnsiTheme="majorHAnsi" w:cstheme="majorHAnsi"/>
              </w:rPr>
              <w:t xml:space="preserve"> permanent regional offices, three permanent area offices and various temporary</w:t>
            </w:r>
            <w:r w:rsidR="00E64165" w:rsidRPr="00FF7EA3">
              <w:rPr>
                <w:rFonts w:asciiTheme="majorHAnsi" w:hAnsiTheme="majorHAnsi" w:cstheme="majorHAnsi"/>
              </w:rPr>
              <w:t>,</w:t>
            </w:r>
            <w:r w:rsidRPr="00FF7EA3">
              <w:rPr>
                <w:rFonts w:asciiTheme="majorHAnsi" w:hAnsiTheme="majorHAnsi" w:cstheme="majorHAnsi"/>
              </w:rPr>
              <w:t xml:space="preserve"> disaster-related sites that carry out </w:t>
            </w:r>
            <w:r w:rsidR="00E64165" w:rsidRPr="00FF7EA3">
              <w:rPr>
                <w:rFonts w:asciiTheme="majorHAnsi" w:hAnsiTheme="majorHAnsi" w:cstheme="majorHAnsi"/>
              </w:rPr>
              <w:t>their</w:t>
            </w:r>
            <w:r w:rsidRPr="00FF7EA3">
              <w:rPr>
                <w:rFonts w:asciiTheme="majorHAnsi" w:hAnsiTheme="majorHAnsi" w:cstheme="majorHAnsi"/>
              </w:rPr>
              <w:t xml:space="preserve"> operations throughout the United States and its territories.</w:t>
            </w:r>
            <w:r w:rsidR="001A2DE3" w:rsidRPr="00FF7EA3">
              <w:rPr>
                <w:rFonts w:asciiTheme="majorHAnsi" w:hAnsiTheme="majorHAnsi" w:cstheme="majorHAnsi"/>
              </w:rPr>
              <w:t xml:space="preserve"> In fiscal 2016,</w:t>
            </w:r>
            <w:r w:rsidRPr="00FF7EA3">
              <w:rPr>
                <w:rFonts w:asciiTheme="majorHAnsi" w:hAnsiTheme="majorHAnsi" w:cstheme="majorHAnsi"/>
              </w:rPr>
              <w:t xml:space="preserve"> </w:t>
            </w:r>
            <w:r w:rsidR="009B3010" w:rsidRPr="00FF7EA3">
              <w:rPr>
                <w:rFonts w:asciiTheme="majorHAnsi" w:hAnsiTheme="majorHAnsi" w:cstheme="majorHAnsi"/>
              </w:rPr>
              <w:t xml:space="preserve">FEMA had 4,722 </w:t>
            </w:r>
            <w:proofErr w:type="spellStart"/>
            <w:r w:rsidR="001A2DE3" w:rsidRPr="00FF7EA3">
              <w:rPr>
                <w:rFonts w:asciiTheme="majorHAnsi" w:hAnsiTheme="majorHAnsi" w:cstheme="majorHAnsi"/>
              </w:rPr>
              <w:t>nonseasonal</w:t>
            </w:r>
            <w:proofErr w:type="spellEnd"/>
            <w:r w:rsidR="001B75D0" w:rsidRPr="00FF7EA3">
              <w:rPr>
                <w:rFonts w:asciiTheme="majorHAnsi" w:hAnsiTheme="majorHAnsi" w:cstheme="majorHAnsi"/>
              </w:rPr>
              <w:t>,</w:t>
            </w:r>
            <w:r w:rsidR="001A2DE3" w:rsidRPr="00FF7EA3">
              <w:rPr>
                <w:rFonts w:asciiTheme="majorHAnsi" w:hAnsiTheme="majorHAnsi" w:cstheme="majorHAnsi"/>
              </w:rPr>
              <w:t xml:space="preserve"> full-time permanent employees and a budget of $13.2 billion.</w:t>
            </w:r>
          </w:p>
        </w:tc>
      </w:tr>
      <w:tr w:rsidR="00DB6DD9" w:rsidRPr="00FF7EA3" w:rsidTr="00DF277B">
        <w:trPr>
          <w:trHeight w:val="2997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D6B" w:rsidRPr="00FF7EA3" w:rsidRDefault="001B75D0" w:rsidP="00541D6B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t>M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anages and oversees </w:t>
            </w:r>
            <w:r w:rsidRPr="00FF7EA3">
              <w:rPr>
                <w:rFonts w:asciiTheme="majorHAnsi" w:eastAsia="Calibri" w:hAnsiTheme="majorHAnsi" w:cstheme="majorHAnsi"/>
              </w:rPr>
              <w:t xml:space="preserve">the </w:t>
            </w:r>
            <w:r w:rsidR="0076004A" w:rsidRPr="00FF7EA3">
              <w:rPr>
                <w:rFonts w:asciiTheme="majorHAnsi" w:eastAsia="Calibri" w:hAnsiTheme="majorHAnsi" w:cstheme="majorHAnsi"/>
              </w:rPr>
              <w:t>functioning of FEMA’s operational and agency support activities,</w:t>
            </w:r>
            <w:r w:rsidRPr="00FF7EA3">
              <w:rPr>
                <w:rFonts w:asciiTheme="majorHAnsi" w:eastAsia="Calibri" w:hAnsiTheme="majorHAnsi" w:cstheme="majorHAnsi"/>
              </w:rPr>
              <w:t xml:space="preserve"> at the direction of the FEMA administrator,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including</w:t>
            </w:r>
            <w:r w:rsidRPr="00FF7EA3">
              <w:rPr>
                <w:rFonts w:asciiTheme="majorHAnsi" w:eastAsia="Calibri" w:hAnsiTheme="majorHAnsi" w:cstheme="majorHAnsi"/>
              </w:rPr>
              <w:t xml:space="preserve"> the</w:t>
            </w:r>
            <w:r w:rsidR="0076004A" w:rsidRPr="00FF7EA3">
              <w:rPr>
                <w:rFonts w:asciiTheme="majorHAnsi" w:eastAsia="Calibri" w:hAnsiTheme="majorHAnsi" w:cstheme="majorHAnsi"/>
              </w:rPr>
              <w:t>:</w:t>
            </w:r>
          </w:p>
          <w:p w:rsidR="00541D6B" w:rsidRPr="00FF7EA3" w:rsidRDefault="0076004A" w:rsidP="003D0B63">
            <w:pPr>
              <w:pStyle w:val="ListParagraph"/>
              <w:numPr>
                <w:ilvl w:val="1"/>
                <w:numId w:val="40"/>
              </w:numPr>
              <w:ind w:left="72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t>Office of the FEMA Administrator</w:t>
            </w:r>
          </w:p>
          <w:p w:rsidR="00541D6B" w:rsidRPr="00FF7EA3" w:rsidRDefault="00E64165" w:rsidP="003D0B63">
            <w:pPr>
              <w:pStyle w:val="ListParagraph"/>
              <w:numPr>
                <w:ilvl w:val="1"/>
                <w:numId w:val="40"/>
              </w:numPr>
              <w:ind w:left="72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Office of National Capital Region Coordination</w:t>
            </w:r>
            <w:r w:rsidR="00541D6B" w:rsidRPr="00FF7EA3">
              <w:rPr>
                <w:rFonts w:asciiTheme="majorHAnsi" w:eastAsia="Calibri" w:hAnsiTheme="majorHAnsi" w:cstheme="majorHAnsi"/>
              </w:rPr>
              <w:t>, which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coordinates homeland security activities relat</w:t>
            </w:r>
            <w:r w:rsidR="001B75D0" w:rsidRPr="00FF7EA3">
              <w:rPr>
                <w:rFonts w:asciiTheme="majorHAnsi" w:eastAsia="Calibri" w:hAnsiTheme="majorHAnsi" w:cstheme="majorHAnsi"/>
              </w:rPr>
              <w:t>ed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to the</w:t>
            </w:r>
            <w:r w:rsidR="00541D6B" w:rsidRPr="00FF7EA3">
              <w:rPr>
                <w:rFonts w:asciiTheme="majorHAnsi" w:eastAsia="Calibri" w:hAnsiTheme="majorHAnsi" w:cstheme="majorHAnsi"/>
              </w:rPr>
              <w:t xml:space="preserve"> National Capital Region (NCR) and 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was created in response to the unique coordination challenges facing the </w:t>
            </w:r>
            <w:r w:rsidR="001B75D0" w:rsidRPr="00FF7EA3">
              <w:rPr>
                <w:rFonts w:asciiTheme="majorHAnsi" w:eastAsia="Calibri" w:hAnsiTheme="majorHAnsi" w:cstheme="majorHAnsi"/>
              </w:rPr>
              <w:t>region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</w:t>
            </w:r>
            <w:r w:rsidR="001B75D0" w:rsidRPr="00FF7EA3">
              <w:rPr>
                <w:rFonts w:asciiTheme="majorHAnsi" w:eastAsia="Calibri" w:hAnsiTheme="majorHAnsi" w:cstheme="majorHAnsi"/>
              </w:rPr>
              <w:t xml:space="preserve">due to 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the region’s large federal presence, </w:t>
            </w:r>
            <w:r w:rsidR="001B75D0" w:rsidRPr="00FF7EA3">
              <w:rPr>
                <w:rFonts w:asciiTheme="majorHAnsi" w:eastAsia="Calibri" w:hAnsiTheme="majorHAnsi" w:cstheme="majorHAnsi"/>
              </w:rPr>
              <w:t xml:space="preserve">which </w:t>
            </w:r>
            <w:r w:rsidR="0076004A" w:rsidRPr="00FF7EA3">
              <w:rPr>
                <w:rFonts w:asciiTheme="majorHAnsi" w:eastAsia="Calibri" w:hAnsiTheme="majorHAnsi" w:cstheme="majorHAnsi"/>
              </w:rPr>
              <w:t>includ</w:t>
            </w:r>
            <w:r w:rsidR="001B75D0" w:rsidRPr="00FF7EA3">
              <w:rPr>
                <w:rFonts w:asciiTheme="majorHAnsi" w:eastAsia="Calibri" w:hAnsiTheme="majorHAnsi" w:cstheme="majorHAnsi"/>
              </w:rPr>
              <w:t>es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Congress, the Judiciary, numerous f</w:t>
            </w:r>
            <w:r w:rsidR="00541D6B" w:rsidRPr="00FF7EA3">
              <w:rPr>
                <w:rFonts w:asciiTheme="majorHAnsi" w:eastAsia="Calibri" w:hAnsiTheme="majorHAnsi" w:cstheme="majorHAnsi"/>
              </w:rPr>
              <w:t>ederal departments and agencies</w:t>
            </w:r>
            <w:r w:rsidR="001B75D0" w:rsidRPr="00FF7EA3">
              <w:rPr>
                <w:rFonts w:asciiTheme="majorHAnsi" w:eastAsia="Calibri" w:hAnsiTheme="majorHAnsi" w:cstheme="majorHAnsi"/>
              </w:rPr>
              <w:t>,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and the intersection among Maryland</w:t>
            </w:r>
            <w:r w:rsidR="00541D6B" w:rsidRPr="00FF7EA3">
              <w:rPr>
                <w:rFonts w:asciiTheme="majorHAnsi" w:eastAsia="Calibri" w:hAnsiTheme="majorHAnsi" w:cstheme="majorHAnsi"/>
              </w:rPr>
              <w:t>, Virginia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and the </w:t>
            </w:r>
            <w:r w:rsidR="00541D6B" w:rsidRPr="00FF7EA3">
              <w:rPr>
                <w:rFonts w:asciiTheme="majorHAnsi" w:eastAsia="Calibri" w:hAnsiTheme="majorHAnsi" w:cstheme="majorHAnsi"/>
              </w:rPr>
              <w:t>District of Columbia</w:t>
            </w:r>
          </w:p>
          <w:p w:rsidR="003D0B63" w:rsidRPr="00FF7EA3" w:rsidRDefault="00E64165" w:rsidP="003D0B63">
            <w:pPr>
              <w:pStyle w:val="ListParagraph"/>
              <w:numPr>
                <w:ilvl w:val="1"/>
                <w:numId w:val="40"/>
              </w:numPr>
              <w:ind w:left="72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Protection and National Preparedness office</w:t>
            </w:r>
            <w:r w:rsidR="00541D6B" w:rsidRPr="00FF7EA3">
              <w:rPr>
                <w:rFonts w:asciiTheme="majorHAnsi" w:hAnsiTheme="majorHAnsi" w:cstheme="majorHAnsi"/>
              </w:rPr>
              <w:t xml:space="preserve">, </w:t>
            </w:r>
            <w:r w:rsidR="001B75D0" w:rsidRPr="00FF7EA3">
              <w:rPr>
                <w:rFonts w:asciiTheme="majorHAnsi" w:hAnsiTheme="majorHAnsi" w:cstheme="majorHAnsi"/>
              </w:rPr>
              <w:t xml:space="preserve">whose </w:t>
            </w:r>
            <w:r w:rsidR="0076004A" w:rsidRPr="00FF7EA3">
              <w:rPr>
                <w:rFonts w:asciiTheme="majorHAnsi" w:hAnsiTheme="majorHAnsi" w:cstheme="majorHAnsi"/>
              </w:rPr>
              <w:t xml:space="preserve">mission </w:t>
            </w:r>
            <w:r w:rsidR="001B75D0" w:rsidRPr="00FF7EA3">
              <w:rPr>
                <w:rFonts w:asciiTheme="majorHAnsi" w:hAnsiTheme="majorHAnsi" w:cstheme="majorHAnsi"/>
              </w:rPr>
              <w:t xml:space="preserve">is </w:t>
            </w:r>
            <w:r w:rsidR="0076004A" w:rsidRPr="00FF7EA3">
              <w:rPr>
                <w:rFonts w:asciiTheme="majorHAnsi" w:hAnsiTheme="majorHAnsi" w:cstheme="majorHAnsi"/>
              </w:rPr>
              <w:t>to administer FEMA programs relat</w:t>
            </w:r>
            <w:r w:rsidR="001B75D0" w:rsidRPr="00FF7EA3">
              <w:rPr>
                <w:rFonts w:asciiTheme="majorHAnsi" w:hAnsiTheme="majorHAnsi" w:cstheme="majorHAnsi"/>
              </w:rPr>
              <w:t>ed</w:t>
            </w:r>
            <w:r w:rsidR="0076004A" w:rsidRPr="00FF7EA3">
              <w:rPr>
                <w:rFonts w:asciiTheme="majorHAnsi" w:hAnsiTheme="majorHAnsi" w:cstheme="majorHAnsi"/>
              </w:rPr>
              <w:t xml:space="preserve"> to </w:t>
            </w:r>
            <w:r w:rsidR="00541D6B" w:rsidRPr="00FF7EA3">
              <w:rPr>
                <w:rFonts w:asciiTheme="majorHAnsi" w:hAnsiTheme="majorHAnsi" w:cstheme="majorHAnsi"/>
              </w:rPr>
              <w:t xml:space="preserve">assistance grants, national continuity, and national </w:t>
            </w:r>
            <w:r w:rsidR="00541D6B" w:rsidRPr="00FF7EA3">
              <w:rPr>
                <w:rFonts w:asciiTheme="majorHAnsi" w:hAnsiTheme="majorHAnsi" w:cstheme="majorHAnsi"/>
              </w:rPr>
              <w:lastRenderedPageBreak/>
              <w:t xml:space="preserve">preparedness </w:t>
            </w:r>
            <w:r w:rsidR="0076004A" w:rsidRPr="00FF7EA3">
              <w:rPr>
                <w:rFonts w:asciiTheme="majorHAnsi" w:hAnsiTheme="majorHAnsi" w:cstheme="majorHAnsi"/>
              </w:rPr>
              <w:t>doctrines and standards</w:t>
            </w:r>
            <w:r w:rsidR="003D0B63" w:rsidRPr="00FF7EA3">
              <w:rPr>
                <w:rFonts w:asciiTheme="majorHAnsi" w:hAnsiTheme="majorHAnsi" w:cstheme="majorHAnsi"/>
              </w:rPr>
              <w:t>;</w:t>
            </w:r>
            <w:r w:rsidR="0076004A" w:rsidRPr="00FF7EA3">
              <w:rPr>
                <w:rFonts w:asciiTheme="majorHAnsi" w:hAnsiTheme="majorHAnsi" w:cstheme="majorHAnsi"/>
              </w:rPr>
              <w:t xml:space="preserve"> preparedness </w:t>
            </w:r>
            <w:r w:rsidR="003D0B63" w:rsidRPr="00FF7EA3">
              <w:rPr>
                <w:rFonts w:asciiTheme="majorHAnsi" w:hAnsiTheme="majorHAnsi" w:cstheme="majorHAnsi"/>
              </w:rPr>
              <w:t>planning;</w:t>
            </w:r>
            <w:r w:rsidR="0076004A" w:rsidRPr="00FF7EA3">
              <w:rPr>
                <w:rFonts w:asciiTheme="majorHAnsi" w:hAnsiTheme="majorHAnsi" w:cstheme="majorHAnsi"/>
              </w:rPr>
              <w:t xml:space="preserve"> and training and exercise</w:t>
            </w:r>
            <w:r w:rsidR="003D0B63" w:rsidRPr="00FF7EA3">
              <w:rPr>
                <w:rFonts w:asciiTheme="majorHAnsi" w:hAnsiTheme="majorHAnsi" w:cstheme="majorHAnsi"/>
              </w:rPr>
              <w:t>s at national, regional</w:t>
            </w:r>
            <w:r w:rsidR="0076004A" w:rsidRPr="00FF7EA3">
              <w:rPr>
                <w:rFonts w:asciiTheme="majorHAnsi" w:hAnsiTheme="majorHAnsi" w:cstheme="majorHAnsi"/>
              </w:rPr>
              <w:t xml:space="preserve"> and local l</w:t>
            </w:r>
            <w:r w:rsidR="003D0B63" w:rsidRPr="00FF7EA3">
              <w:rPr>
                <w:rFonts w:asciiTheme="majorHAnsi" w:hAnsiTheme="majorHAnsi" w:cstheme="majorHAnsi"/>
              </w:rPr>
              <w:t>evels</w:t>
            </w:r>
          </w:p>
          <w:p w:rsidR="003D0B63" w:rsidRPr="00FF7EA3" w:rsidRDefault="0076004A" w:rsidP="003D0B63">
            <w:pPr>
              <w:pStyle w:val="ListParagraph"/>
              <w:numPr>
                <w:ilvl w:val="1"/>
                <w:numId w:val="40"/>
              </w:numPr>
              <w:ind w:left="72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t>Mission Support</w:t>
            </w:r>
            <w:r w:rsidR="003D0B63" w:rsidRPr="00FF7EA3">
              <w:rPr>
                <w:rFonts w:asciiTheme="majorHAnsi" w:eastAsia="Calibri" w:hAnsiTheme="majorHAnsi" w:cstheme="majorHAnsi"/>
              </w:rPr>
              <w:t>, which</w:t>
            </w:r>
            <w:r w:rsidRPr="00FF7EA3">
              <w:rPr>
                <w:rFonts w:asciiTheme="majorHAnsi" w:eastAsia="Calibri" w:hAnsiTheme="majorHAnsi" w:cstheme="majorHAnsi"/>
              </w:rPr>
              <w:t xml:space="preserve"> is organized around five </w:t>
            </w:r>
            <w:r w:rsidR="003D0B63" w:rsidRPr="00FF7EA3">
              <w:rPr>
                <w:rFonts w:asciiTheme="majorHAnsi" w:eastAsia="Calibri" w:hAnsiTheme="majorHAnsi" w:cstheme="majorHAnsi"/>
              </w:rPr>
              <w:t xml:space="preserve">functional offices: </w:t>
            </w:r>
            <w:r w:rsidRPr="00FF7EA3">
              <w:rPr>
                <w:rFonts w:asciiTheme="majorHAnsi" w:eastAsia="Calibri" w:hAnsiTheme="majorHAnsi" w:cstheme="majorHAnsi"/>
              </w:rPr>
              <w:t>Chief Administrative Officer, Chief Human Capital Officer, Chief Information Officer, Chief Procurement Off</w:t>
            </w:r>
            <w:r w:rsidR="003D0B63" w:rsidRPr="00FF7EA3">
              <w:rPr>
                <w:rFonts w:asciiTheme="majorHAnsi" w:eastAsia="Calibri" w:hAnsiTheme="majorHAnsi" w:cstheme="majorHAnsi"/>
              </w:rPr>
              <w:t>ice and Chief Security Officer</w:t>
            </w:r>
          </w:p>
          <w:p w:rsidR="003D0B63" w:rsidRPr="00FF7EA3" w:rsidRDefault="00E64165" w:rsidP="003D0B63">
            <w:pPr>
              <w:pStyle w:val="ListParagraph"/>
              <w:numPr>
                <w:ilvl w:val="1"/>
                <w:numId w:val="40"/>
              </w:numPr>
              <w:ind w:left="72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U.S. Fire Administration</w:t>
            </w:r>
            <w:r w:rsidR="003D0B63" w:rsidRPr="00FF7EA3">
              <w:rPr>
                <w:rFonts w:asciiTheme="majorHAnsi" w:eastAsia="Calibri" w:hAnsiTheme="majorHAnsi" w:cstheme="majorHAnsi"/>
              </w:rPr>
              <w:t>, which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is an independent agency within FEMA that supports the efforts of state and local departments by providing training and education</w:t>
            </w:r>
            <w:r w:rsidR="001B75D0" w:rsidRPr="00FF7EA3">
              <w:rPr>
                <w:rFonts w:asciiTheme="majorHAnsi" w:eastAsia="Calibri" w:hAnsiTheme="majorHAnsi" w:cstheme="majorHAnsi"/>
              </w:rPr>
              <w:t>;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applied research and technology</w:t>
            </w:r>
            <w:r w:rsidR="001B75D0" w:rsidRPr="00FF7EA3">
              <w:rPr>
                <w:rFonts w:asciiTheme="majorHAnsi" w:eastAsia="Calibri" w:hAnsiTheme="majorHAnsi" w:cstheme="majorHAnsi"/>
              </w:rPr>
              <w:t>;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data collection and analysis</w:t>
            </w:r>
            <w:r w:rsidR="001B75D0" w:rsidRPr="00FF7EA3">
              <w:rPr>
                <w:rFonts w:asciiTheme="majorHAnsi" w:eastAsia="Calibri" w:hAnsiTheme="majorHAnsi" w:cstheme="majorHAnsi"/>
              </w:rPr>
              <w:t>;</w:t>
            </w:r>
            <w:r w:rsidR="003D0B63" w:rsidRPr="00FF7EA3">
              <w:rPr>
                <w:rFonts w:asciiTheme="majorHAnsi" w:eastAsia="Calibri" w:hAnsiTheme="majorHAnsi" w:cstheme="majorHAnsi"/>
              </w:rPr>
              <w:t xml:space="preserve"> public education and awareness</w:t>
            </w:r>
            <w:r w:rsidR="001B75D0" w:rsidRPr="00FF7EA3">
              <w:rPr>
                <w:rFonts w:asciiTheme="majorHAnsi" w:eastAsia="Calibri" w:hAnsiTheme="majorHAnsi" w:cstheme="majorHAnsi"/>
              </w:rPr>
              <w:t>;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and dissemination of inform</w:t>
            </w:r>
            <w:r w:rsidR="003D0B63" w:rsidRPr="00FF7EA3">
              <w:rPr>
                <w:rFonts w:asciiTheme="majorHAnsi" w:eastAsia="Calibri" w:hAnsiTheme="majorHAnsi" w:cstheme="majorHAnsi"/>
              </w:rPr>
              <w:t>ation and deployment assistance</w:t>
            </w:r>
          </w:p>
          <w:p w:rsidR="003D0B63" w:rsidRPr="00FF7EA3" w:rsidRDefault="00E64165" w:rsidP="003D0B63">
            <w:pPr>
              <w:pStyle w:val="ListParagraph"/>
              <w:numPr>
                <w:ilvl w:val="1"/>
                <w:numId w:val="40"/>
              </w:numPr>
              <w:ind w:left="72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Federal Insurance and Mitigation Administration,</w:t>
            </w:r>
            <w:r w:rsidRPr="00FF7EA3">
              <w:rPr>
                <w:rFonts w:asciiTheme="majorHAnsi" w:eastAsia="Calibri" w:hAnsiTheme="majorHAnsi" w:cstheme="majorHAnsi"/>
              </w:rPr>
              <w:t xml:space="preserve"> </w:t>
            </w:r>
            <w:r w:rsidR="003D0B63" w:rsidRPr="00FF7EA3">
              <w:rPr>
                <w:rFonts w:asciiTheme="majorHAnsi" w:eastAsia="Calibri" w:hAnsiTheme="majorHAnsi" w:cstheme="majorHAnsi"/>
              </w:rPr>
              <w:t>which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manages the National Flood Insurance Program and a range of programs designed to reduce future losses to homes, busine</w:t>
            </w:r>
            <w:r w:rsidR="003D0B63" w:rsidRPr="00FF7EA3">
              <w:rPr>
                <w:rFonts w:asciiTheme="majorHAnsi" w:eastAsia="Calibri" w:hAnsiTheme="majorHAnsi" w:cstheme="majorHAnsi"/>
              </w:rPr>
              <w:t>sses, schools, public buildings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and critical facilities from</w:t>
            </w:r>
            <w:r w:rsidR="003D0B63" w:rsidRPr="00FF7EA3">
              <w:rPr>
                <w:rFonts w:asciiTheme="majorHAnsi" w:eastAsia="Calibri" w:hAnsiTheme="majorHAnsi" w:cstheme="majorHAnsi"/>
              </w:rPr>
              <w:t xml:space="preserve"> floods, earthquakes, tornadoes and other natural disasters</w:t>
            </w:r>
          </w:p>
          <w:p w:rsidR="0076004A" w:rsidRPr="00FF7EA3" w:rsidRDefault="00E64165" w:rsidP="003D0B63">
            <w:pPr>
              <w:pStyle w:val="ListParagraph"/>
              <w:numPr>
                <w:ilvl w:val="1"/>
                <w:numId w:val="40"/>
              </w:numPr>
              <w:ind w:left="72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Office of Response and Recovery</w:t>
            </w:r>
            <w:r w:rsidR="003D0B63" w:rsidRPr="00FF7EA3">
              <w:rPr>
                <w:rFonts w:asciiTheme="majorHAnsi" w:eastAsia="Calibri" w:hAnsiTheme="majorHAnsi" w:cstheme="majorHAnsi"/>
              </w:rPr>
              <w:t>, which</w:t>
            </w:r>
            <w:r w:rsidR="0076004A" w:rsidRPr="00FF7EA3">
              <w:rPr>
                <w:rFonts w:asciiTheme="majorHAnsi" w:hAnsiTheme="majorHAnsi" w:cstheme="majorHAnsi"/>
              </w:rPr>
              <w:t xml:space="preserve"> 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provides guidance, leadership </w:t>
            </w:r>
            <w:r w:rsidR="003D0B63" w:rsidRPr="00FF7EA3">
              <w:rPr>
                <w:rFonts w:asciiTheme="majorHAnsi" w:eastAsia="Calibri" w:hAnsiTheme="majorHAnsi" w:cstheme="majorHAnsi"/>
              </w:rPr>
              <w:t>and oversight to build, sustain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and improve the coordination and delivery of support to citizens and state, local, tribal and territorial governments</w:t>
            </w:r>
            <w:r w:rsidR="001B75D0" w:rsidRPr="00FF7EA3">
              <w:rPr>
                <w:rFonts w:asciiTheme="majorHAnsi" w:eastAsia="Calibri" w:hAnsiTheme="majorHAnsi" w:cstheme="majorHAnsi"/>
              </w:rPr>
              <w:t>—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to save lives, reduce suffering, protect property and recover from all hazards. </w:t>
            </w:r>
            <w:r w:rsidR="001B75D0" w:rsidRPr="00FF7EA3">
              <w:rPr>
                <w:rFonts w:asciiTheme="majorHAnsi" w:eastAsia="Calibri" w:hAnsiTheme="majorHAnsi" w:cstheme="majorHAnsi"/>
              </w:rPr>
              <w:t>This office</w:t>
            </w:r>
            <w:r w:rsidR="0076004A" w:rsidRPr="00FF7EA3">
              <w:rPr>
                <w:rFonts w:asciiTheme="majorHAnsi" w:eastAsia="Calibri" w:hAnsiTheme="majorHAnsi" w:cstheme="majorHAnsi"/>
              </w:rPr>
              <w:t xml:space="preserve"> manages and oversees the functioning of</w:t>
            </w:r>
            <w:r w:rsidR="001B75D0" w:rsidRPr="00FF7EA3">
              <w:rPr>
                <w:rFonts w:asciiTheme="majorHAnsi" w:eastAsia="Calibri" w:hAnsiTheme="majorHAnsi" w:cstheme="majorHAnsi"/>
              </w:rPr>
              <w:t xml:space="preserve"> the</w:t>
            </w:r>
            <w:r w:rsidR="0076004A" w:rsidRPr="00FF7EA3">
              <w:rPr>
                <w:rFonts w:asciiTheme="majorHAnsi" w:eastAsia="Calibri" w:hAnsiTheme="majorHAnsi" w:cstheme="majorHAnsi"/>
              </w:rPr>
              <w:t>:</w:t>
            </w:r>
          </w:p>
          <w:p w:rsidR="0076004A" w:rsidRPr="00FF7EA3" w:rsidRDefault="0076004A" w:rsidP="00DB6DD9">
            <w:pPr>
              <w:pStyle w:val="ListParagraph"/>
              <w:numPr>
                <w:ilvl w:val="2"/>
                <w:numId w:val="40"/>
              </w:numPr>
              <w:ind w:left="108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t xml:space="preserve">Office of the Associate Administrator for Response and Recovery </w:t>
            </w:r>
          </w:p>
          <w:p w:rsidR="0076004A" w:rsidRPr="00FF7EA3" w:rsidRDefault="0076004A" w:rsidP="00DB6DD9">
            <w:pPr>
              <w:pStyle w:val="ListParagraph"/>
              <w:numPr>
                <w:ilvl w:val="2"/>
                <w:numId w:val="40"/>
              </w:numPr>
              <w:ind w:left="108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t>Response Directorate</w:t>
            </w:r>
          </w:p>
          <w:p w:rsidR="0076004A" w:rsidRPr="00FF7EA3" w:rsidRDefault="0076004A" w:rsidP="00DB6DD9">
            <w:pPr>
              <w:pStyle w:val="ListParagraph"/>
              <w:numPr>
                <w:ilvl w:val="2"/>
                <w:numId w:val="40"/>
              </w:numPr>
              <w:ind w:left="108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t>Recovery Directorate</w:t>
            </w:r>
          </w:p>
          <w:p w:rsidR="0076004A" w:rsidRPr="00FF7EA3" w:rsidRDefault="0076004A" w:rsidP="00DB6DD9">
            <w:pPr>
              <w:pStyle w:val="ListParagraph"/>
              <w:numPr>
                <w:ilvl w:val="2"/>
                <w:numId w:val="40"/>
              </w:numPr>
              <w:ind w:left="108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t>Logistics Management Directorate</w:t>
            </w:r>
          </w:p>
          <w:p w:rsidR="0076004A" w:rsidRPr="00FF7EA3" w:rsidRDefault="0076004A" w:rsidP="00DB6DD9">
            <w:pPr>
              <w:pStyle w:val="ListParagraph"/>
              <w:numPr>
                <w:ilvl w:val="2"/>
                <w:numId w:val="40"/>
              </w:numPr>
              <w:ind w:left="1080"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t>Field Operations Directorate</w:t>
            </w:r>
          </w:p>
        </w:tc>
      </w:tr>
      <w:tr w:rsidR="00DB6DD9" w:rsidRPr="00FF7EA3" w:rsidTr="00DF277B"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DD9" w:rsidRPr="00FF7EA3" w:rsidRDefault="00DB6DD9" w:rsidP="00DF277B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DB6DD9" w:rsidRPr="00FF7EA3" w:rsidRDefault="00DB6DD9" w:rsidP="00DF277B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76004A" w:rsidRPr="00FF7EA3" w:rsidRDefault="00DB6DD9" w:rsidP="00DF277B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[Depends on the policy priorities of the administration]</w:t>
            </w:r>
          </w:p>
          <w:p w:rsidR="00DB6DD9" w:rsidRPr="00FF7EA3" w:rsidRDefault="00DB6DD9" w:rsidP="00DF277B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DB6DD9" w:rsidRPr="00FF7EA3" w:rsidRDefault="00DB6DD9" w:rsidP="00DF277B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6DD9" w:rsidRPr="00FF7EA3" w:rsidTr="00DF277B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76004A" w:rsidRPr="00FF7EA3" w:rsidRDefault="0076004A" w:rsidP="00DF277B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7EA3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DB6DD9" w:rsidRPr="00FF7EA3" w:rsidTr="00DF277B"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4A" w:rsidRPr="00FF7EA3" w:rsidRDefault="0076004A" w:rsidP="00DB6DD9">
            <w:pPr>
              <w:numPr>
                <w:ilvl w:val="0"/>
                <w:numId w:val="31"/>
              </w:numPr>
              <w:ind w:left="302" w:hanging="230"/>
              <w:contextualSpacing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t>Extensive leadership and management experience</w:t>
            </w:r>
          </w:p>
          <w:p w:rsidR="0076004A" w:rsidRPr="00FF7EA3" w:rsidRDefault="0076004A" w:rsidP="00DB6DD9">
            <w:pPr>
              <w:numPr>
                <w:ilvl w:val="0"/>
                <w:numId w:val="31"/>
              </w:numPr>
              <w:ind w:left="302" w:hanging="230"/>
              <w:contextualSpacing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Strong experience, education and training in strategically leading and guiding preparedness,</w:t>
            </w:r>
            <w:r w:rsidR="00DB6DD9" w:rsidRPr="00FF7EA3">
              <w:rPr>
                <w:rFonts w:asciiTheme="majorHAnsi" w:hAnsiTheme="majorHAnsi" w:cstheme="majorHAnsi"/>
              </w:rPr>
              <w:t xml:space="preserve"> protection, response, recovery</w:t>
            </w:r>
            <w:r w:rsidRPr="00FF7EA3">
              <w:rPr>
                <w:rFonts w:asciiTheme="majorHAnsi" w:hAnsiTheme="majorHAnsi" w:cstheme="majorHAnsi"/>
              </w:rPr>
              <w:t xml:space="preserve"> and mitigation progra</w:t>
            </w:r>
            <w:r w:rsidR="00DB6DD9" w:rsidRPr="00FF7EA3">
              <w:rPr>
                <w:rFonts w:asciiTheme="majorHAnsi" w:hAnsiTheme="majorHAnsi" w:cstheme="majorHAnsi"/>
              </w:rPr>
              <w:t>ms at national, regional, state</w:t>
            </w:r>
            <w:r w:rsidRPr="00FF7EA3">
              <w:rPr>
                <w:rFonts w:asciiTheme="majorHAnsi" w:hAnsiTheme="majorHAnsi" w:cstheme="majorHAnsi"/>
              </w:rPr>
              <w:t xml:space="preserve"> and local levels</w:t>
            </w:r>
          </w:p>
          <w:p w:rsidR="0076004A" w:rsidRPr="00FF7EA3" w:rsidRDefault="0076004A" w:rsidP="00DB6DD9">
            <w:pPr>
              <w:numPr>
                <w:ilvl w:val="0"/>
                <w:numId w:val="31"/>
              </w:numPr>
              <w:ind w:left="302" w:hanging="230"/>
              <w:contextualSpacing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Demonstrated knowledge and experience in administering large federal programs serving a broad range of homeland security and national security stakeholders</w:t>
            </w:r>
          </w:p>
          <w:p w:rsidR="0076004A" w:rsidRPr="00FF7EA3" w:rsidRDefault="0076004A" w:rsidP="00DB6DD9">
            <w:pPr>
              <w:numPr>
                <w:ilvl w:val="0"/>
                <w:numId w:val="31"/>
              </w:numPr>
              <w:ind w:left="302" w:hanging="230"/>
              <w:contextualSpacing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lastRenderedPageBreak/>
              <w:t>Substantive background or experience in strategy development, along with sound knowledge of federal p</w:t>
            </w:r>
            <w:r w:rsidR="00DB6DD9" w:rsidRPr="00FF7EA3">
              <w:rPr>
                <w:rFonts w:asciiTheme="majorHAnsi" w:eastAsia="Calibri" w:hAnsiTheme="majorHAnsi" w:cstheme="majorHAnsi"/>
              </w:rPr>
              <w:t>lanning, programming, budgeting and execution systems</w:t>
            </w:r>
          </w:p>
          <w:p w:rsidR="0076004A" w:rsidRPr="00FF7EA3" w:rsidRDefault="0076004A" w:rsidP="00DB6DD9">
            <w:pPr>
              <w:numPr>
                <w:ilvl w:val="0"/>
                <w:numId w:val="31"/>
              </w:numPr>
              <w:ind w:left="302" w:hanging="230"/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FF7EA3">
              <w:rPr>
                <w:rFonts w:asciiTheme="majorHAnsi" w:eastAsia="Calibri" w:hAnsiTheme="majorHAnsi" w:cstheme="majorHAnsi"/>
              </w:rPr>
              <w:t>Background or experience in federal acquisition practices and norms</w:t>
            </w:r>
          </w:p>
          <w:p w:rsidR="0076004A" w:rsidRPr="00FF7EA3" w:rsidRDefault="0076004A" w:rsidP="00DB6DD9">
            <w:pPr>
              <w:numPr>
                <w:ilvl w:val="0"/>
                <w:numId w:val="31"/>
              </w:numPr>
              <w:ind w:left="302" w:hanging="230"/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FF7EA3">
              <w:rPr>
                <w:rFonts w:asciiTheme="majorHAnsi" w:eastAsia="Calibri" w:hAnsiTheme="majorHAnsi" w:cstheme="majorHAnsi"/>
              </w:rPr>
              <w:t>Executive experience with workforce management and professional development</w:t>
            </w:r>
          </w:p>
        </w:tc>
      </w:tr>
      <w:tr w:rsidR="00DB6DD9" w:rsidRPr="00FF7EA3" w:rsidTr="00DF277B"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76004A" w:rsidRPr="00FF7EA3" w:rsidRDefault="0076004A" w:rsidP="00DF277B">
            <w:pPr>
              <w:contextualSpacing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4A" w:rsidRPr="00FF7EA3" w:rsidRDefault="0076004A" w:rsidP="00DB6DD9">
            <w:pPr>
              <w:numPr>
                <w:ilvl w:val="0"/>
                <w:numId w:val="32"/>
              </w:numPr>
              <w:ind w:left="302" w:hanging="230"/>
              <w:contextualSpacing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t xml:space="preserve">Strong communication and interpersonal skills </w:t>
            </w:r>
          </w:p>
          <w:p w:rsidR="0076004A" w:rsidRPr="00FF7EA3" w:rsidRDefault="0076004A" w:rsidP="00DB6DD9">
            <w:pPr>
              <w:numPr>
                <w:ilvl w:val="0"/>
                <w:numId w:val="32"/>
              </w:numPr>
              <w:ind w:left="302" w:hanging="230"/>
              <w:contextualSpacing/>
              <w:rPr>
                <w:rFonts w:asciiTheme="majorHAnsi" w:eastAsia="Calibri" w:hAnsiTheme="majorHAnsi" w:cstheme="majorHAnsi"/>
              </w:rPr>
            </w:pPr>
            <w:r w:rsidRPr="00FF7EA3">
              <w:rPr>
                <w:rFonts w:asciiTheme="majorHAnsi" w:eastAsia="Calibri" w:hAnsiTheme="majorHAnsi" w:cstheme="majorHAnsi"/>
              </w:rPr>
              <w:t>Ability to integrate diverse missions and organizations</w:t>
            </w:r>
          </w:p>
          <w:p w:rsidR="0076004A" w:rsidRPr="00FF7EA3" w:rsidRDefault="0076004A" w:rsidP="00DB6DD9">
            <w:pPr>
              <w:numPr>
                <w:ilvl w:val="0"/>
                <w:numId w:val="32"/>
              </w:numPr>
              <w:ind w:left="302" w:hanging="230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FF7EA3">
              <w:rPr>
                <w:rFonts w:asciiTheme="majorHAnsi" w:eastAsia="Calibri" w:hAnsiTheme="majorHAnsi" w:cstheme="majorHAnsi"/>
              </w:rPr>
              <w:t>Abil</w:t>
            </w:r>
            <w:r w:rsidR="00DB6DD9" w:rsidRPr="00FF7EA3">
              <w:rPr>
                <w:rFonts w:asciiTheme="majorHAnsi" w:eastAsia="Calibri" w:hAnsiTheme="majorHAnsi" w:cstheme="majorHAnsi"/>
              </w:rPr>
              <w:t>ity to work under high pressure</w:t>
            </w:r>
          </w:p>
        </w:tc>
      </w:tr>
      <w:tr w:rsidR="00DB6DD9" w:rsidRPr="00FF7EA3" w:rsidTr="00DF277B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76004A" w:rsidRPr="00FF7EA3" w:rsidRDefault="0076004A" w:rsidP="00DF277B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7EA3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DB6DD9" w:rsidRPr="00FF7EA3" w:rsidTr="00DF277B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4A" w:rsidRPr="00FF7EA3" w:rsidRDefault="0076004A" w:rsidP="007A7477">
            <w:pPr>
              <w:pStyle w:val="p4"/>
              <w:rPr>
                <w:rFonts w:asciiTheme="majorHAnsi" w:hAnsiTheme="majorHAnsi" w:cstheme="majorHAnsi"/>
                <w:sz w:val="22"/>
                <w:szCs w:val="22"/>
              </w:rPr>
            </w:pPr>
            <w:r w:rsidRPr="00FF7EA3">
              <w:rPr>
                <w:rFonts w:asciiTheme="majorHAnsi" w:hAnsiTheme="majorHAnsi" w:cstheme="majorHAnsi"/>
                <w:sz w:val="22"/>
                <w:szCs w:val="22"/>
              </w:rPr>
              <w:t xml:space="preserve">Joseph L. </w:t>
            </w:r>
            <w:proofErr w:type="spellStart"/>
            <w:r w:rsidRPr="00FF7EA3">
              <w:rPr>
                <w:rFonts w:asciiTheme="majorHAnsi" w:hAnsiTheme="majorHAnsi" w:cstheme="majorHAnsi"/>
                <w:sz w:val="22"/>
                <w:szCs w:val="22"/>
              </w:rPr>
              <w:t>Nimmich</w:t>
            </w:r>
            <w:proofErr w:type="spellEnd"/>
            <w:r w:rsidRPr="00FF7EA3">
              <w:rPr>
                <w:rFonts w:asciiTheme="majorHAnsi" w:hAnsiTheme="majorHAnsi" w:cstheme="majorHAnsi"/>
                <w:sz w:val="22"/>
                <w:szCs w:val="22"/>
              </w:rPr>
              <w:t xml:space="preserve"> (2013 to </w:t>
            </w:r>
            <w:r w:rsidR="007A7477">
              <w:rPr>
                <w:rFonts w:asciiTheme="majorHAnsi" w:hAnsiTheme="majorHAnsi" w:cstheme="majorHAnsi"/>
                <w:sz w:val="22"/>
                <w:szCs w:val="22"/>
              </w:rPr>
              <w:t>2017</w:t>
            </w:r>
            <w:r w:rsidRPr="00FF7EA3">
              <w:rPr>
                <w:rFonts w:asciiTheme="majorHAnsi" w:hAnsiTheme="majorHAnsi" w:cstheme="majorHAnsi"/>
                <w:sz w:val="22"/>
                <w:szCs w:val="22"/>
              </w:rPr>
              <w:t>) –</w:t>
            </w:r>
            <w:r w:rsidR="00DB6DD9" w:rsidRPr="00FF7EA3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F7EA3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>Director of Maritime Surveillance and Security at the Raytheon Corporation; Commander (Rear Admiral),U</w:t>
            </w:r>
            <w:r w:rsidR="00DB6DD9" w:rsidRPr="00FF7EA3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>.</w:t>
            </w:r>
            <w:r w:rsidRPr="00FF7EA3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>S</w:t>
            </w:r>
            <w:r w:rsidR="00DB6DD9" w:rsidRPr="00FF7EA3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>.</w:t>
            </w:r>
            <w:r w:rsidRPr="00FF7EA3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 xml:space="preserve"> Coast Guard </w:t>
            </w:r>
            <w:r w:rsidR="001564CB" w:rsidRPr="00FF7EA3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 xml:space="preserve">First </w:t>
            </w:r>
            <w:r w:rsidRPr="00FF7EA3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 xml:space="preserve">District (retired after 33 </w:t>
            </w:r>
            <w:r w:rsidR="00DB6DD9" w:rsidRPr="00FF7EA3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>years</w:t>
            </w:r>
            <w:r w:rsidR="001564CB" w:rsidRPr="00FF7EA3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 xml:space="preserve"> of</w:t>
            </w:r>
            <w:r w:rsidR="00DB6DD9" w:rsidRPr="00FF7EA3">
              <w:rPr>
                <w:rStyle w:val="s1"/>
                <w:rFonts w:asciiTheme="majorHAnsi" w:hAnsiTheme="majorHAnsi" w:cstheme="majorHAnsi"/>
                <w:sz w:val="22"/>
                <w:szCs w:val="22"/>
              </w:rPr>
              <w:t xml:space="preserve"> active military service)</w:t>
            </w:r>
          </w:p>
        </w:tc>
      </w:tr>
      <w:tr w:rsidR="00DB6DD9" w:rsidRPr="00FF7EA3" w:rsidTr="00DF277B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4A" w:rsidRPr="00FF7EA3" w:rsidRDefault="0076004A" w:rsidP="00DB6D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 xml:space="preserve">Richard A. </w:t>
            </w:r>
            <w:proofErr w:type="spellStart"/>
            <w:r w:rsidRPr="00FF7EA3">
              <w:rPr>
                <w:rFonts w:asciiTheme="majorHAnsi" w:hAnsiTheme="majorHAnsi" w:cstheme="majorHAnsi"/>
              </w:rPr>
              <w:t>Serino</w:t>
            </w:r>
            <w:proofErr w:type="spellEnd"/>
            <w:r w:rsidRPr="00FF7EA3">
              <w:rPr>
                <w:rFonts w:asciiTheme="majorHAnsi" w:hAnsiTheme="majorHAnsi" w:cstheme="majorHAnsi"/>
              </w:rPr>
              <w:t xml:space="preserve"> (2009 to 2013) – </w:t>
            </w:r>
            <w:r w:rsidR="00DB6DD9" w:rsidRPr="00FF7EA3">
              <w:rPr>
                <w:rFonts w:asciiTheme="majorHAnsi" w:hAnsiTheme="majorHAnsi" w:cstheme="majorHAnsi"/>
              </w:rPr>
              <w:t>Chief</w:t>
            </w:r>
            <w:r w:rsidRPr="00FF7EA3">
              <w:rPr>
                <w:rFonts w:asciiTheme="majorHAnsi" w:hAnsiTheme="majorHAnsi" w:cstheme="majorHAnsi"/>
              </w:rPr>
              <w:t>, City of Bo</w:t>
            </w:r>
            <w:r w:rsidR="00DB6DD9" w:rsidRPr="00FF7EA3">
              <w:rPr>
                <w:rFonts w:asciiTheme="majorHAnsi" w:hAnsiTheme="majorHAnsi" w:cstheme="majorHAnsi"/>
              </w:rPr>
              <w:t>ston Emergency Medical Services</w:t>
            </w:r>
          </w:p>
        </w:tc>
      </w:tr>
      <w:tr w:rsidR="00DB6DD9" w:rsidRPr="00FF7EA3" w:rsidTr="00DF277B">
        <w:tc>
          <w:tcPr>
            <w:tcW w:w="9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04A" w:rsidRPr="00FF7EA3" w:rsidRDefault="0076004A" w:rsidP="001564CB">
            <w:pPr>
              <w:rPr>
                <w:rFonts w:asciiTheme="majorHAnsi" w:hAnsiTheme="majorHAnsi" w:cstheme="majorHAnsi"/>
              </w:rPr>
            </w:pPr>
            <w:r w:rsidRPr="00FF7EA3">
              <w:rPr>
                <w:rFonts w:asciiTheme="majorHAnsi" w:hAnsiTheme="majorHAnsi" w:cstheme="majorHAnsi"/>
              </w:rPr>
              <w:t>Harvey E. Johnson (2007 to 2009) –</w:t>
            </w:r>
            <w:r w:rsidR="00DB6DD9" w:rsidRPr="00FF7EA3">
              <w:rPr>
                <w:rFonts w:asciiTheme="majorHAnsi" w:hAnsiTheme="majorHAnsi" w:cstheme="majorHAnsi"/>
              </w:rPr>
              <w:t xml:space="preserve"> </w:t>
            </w:r>
            <w:r w:rsidRPr="00FF7EA3">
              <w:rPr>
                <w:rFonts w:asciiTheme="majorHAnsi" w:hAnsiTheme="majorHAnsi" w:cstheme="majorHAnsi"/>
              </w:rPr>
              <w:t>Commander (Vice Admiral), U</w:t>
            </w:r>
            <w:r w:rsidR="00DB6DD9" w:rsidRPr="00FF7EA3">
              <w:rPr>
                <w:rFonts w:asciiTheme="majorHAnsi" w:hAnsiTheme="majorHAnsi" w:cstheme="majorHAnsi"/>
              </w:rPr>
              <w:t>.</w:t>
            </w:r>
            <w:r w:rsidRPr="00FF7EA3">
              <w:rPr>
                <w:rFonts w:asciiTheme="majorHAnsi" w:hAnsiTheme="majorHAnsi" w:cstheme="majorHAnsi"/>
              </w:rPr>
              <w:t>S</w:t>
            </w:r>
            <w:r w:rsidR="00DB6DD9" w:rsidRPr="00FF7EA3">
              <w:rPr>
                <w:rFonts w:asciiTheme="majorHAnsi" w:hAnsiTheme="majorHAnsi" w:cstheme="majorHAnsi"/>
              </w:rPr>
              <w:t>.</w:t>
            </w:r>
            <w:r w:rsidRPr="00FF7EA3">
              <w:rPr>
                <w:rFonts w:asciiTheme="majorHAnsi" w:hAnsiTheme="majorHAnsi" w:cstheme="majorHAnsi"/>
              </w:rPr>
              <w:t xml:space="preserve"> Coast Guard Pacific Area</w:t>
            </w:r>
            <w:r w:rsidR="00DB6DD9" w:rsidRPr="00FF7EA3">
              <w:rPr>
                <w:rFonts w:asciiTheme="majorHAnsi" w:hAnsiTheme="majorHAnsi" w:cstheme="majorHAnsi"/>
              </w:rPr>
              <w:t xml:space="preserve"> </w:t>
            </w:r>
            <w:r w:rsidRPr="00FF7EA3">
              <w:rPr>
                <w:rFonts w:asciiTheme="majorHAnsi" w:hAnsiTheme="majorHAnsi" w:cstheme="majorHAnsi"/>
              </w:rPr>
              <w:t xml:space="preserve">(retired after 34 </w:t>
            </w:r>
            <w:r w:rsidR="00DB6DD9" w:rsidRPr="00FF7EA3">
              <w:rPr>
                <w:rFonts w:asciiTheme="majorHAnsi" w:hAnsiTheme="majorHAnsi" w:cstheme="majorHAnsi"/>
              </w:rPr>
              <w:t>years’ active military service)</w:t>
            </w:r>
          </w:p>
        </w:tc>
      </w:tr>
    </w:tbl>
    <w:p w:rsidR="00DB6DD9" w:rsidRDefault="00DB6DD9" w:rsidP="00DB6DD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Endnotes</w:t>
      </w:r>
    </w:p>
    <w:p w:rsidR="00514128" w:rsidRPr="0076004A" w:rsidRDefault="00DB6DD9" w:rsidP="0076004A">
      <w:r>
        <w:rPr>
          <w:rFonts w:ascii="Arial" w:hAnsi="Arial" w:cs="Arial"/>
        </w:rPr>
        <w:t>This position description was created with the help of MITRE Corporation, a not-for-profit company that provides innovative, practical solutions for some of the nation's most critical challenges in defense and intelligence, aviation, civil systems, homeland security, the judiciary, health care and cybersecurity.</w:t>
      </w:r>
    </w:p>
    <w:sectPr w:rsidR="00514128" w:rsidRPr="0076004A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E1" w:rsidRDefault="001227E1" w:rsidP="001E22F1">
      <w:r>
        <w:separator/>
      </w:r>
    </w:p>
  </w:endnote>
  <w:endnote w:type="continuationSeparator" w:id="0">
    <w:p w:rsidR="001227E1" w:rsidRDefault="001227E1" w:rsidP="001E22F1">
      <w:r>
        <w:continuationSeparator/>
      </w:r>
    </w:p>
  </w:endnote>
  <w:endnote w:id="1">
    <w:p w:rsidR="00FF7EA3" w:rsidRDefault="00FF7EA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D0A3F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BD" w:rsidRDefault="00FA24BD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4BD" w:rsidRDefault="00FA24BD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BD" w:rsidRDefault="00FA24BD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19340C0" wp14:editId="1927D8B3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4BD" w:rsidRDefault="00FA24BD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FA24BD" w:rsidRPr="009630CC" w:rsidRDefault="00FA24BD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FA24BD" w:rsidRPr="009630CC" w:rsidRDefault="00FA24BD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FA24BD" w:rsidRPr="00B64A22" w:rsidRDefault="00FA24BD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BD" w:rsidRPr="00B64A22" w:rsidRDefault="00FA24BD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E1" w:rsidRDefault="001227E1" w:rsidP="001E22F1">
      <w:r>
        <w:separator/>
      </w:r>
    </w:p>
  </w:footnote>
  <w:footnote w:type="continuationSeparator" w:id="0">
    <w:p w:rsidR="001227E1" w:rsidRDefault="001227E1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BD" w:rsidRPr="00CA0F50" w:rsidRDefault="006D0A3F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A24BD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BD" w:rsidRPr="00207063" w:rsidRDefault="00FA24BD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BD" w:rsidRPr="004960D6" w:rsidRDefault="00FA24BD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A3324"/>
    <w:multiLevelType w:val="hybridMultilevel"/>
    <w:tmpl w:val="7972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8498F"/>
    <w:multiLevelType w:val="hybridMultilevel"/>
    <w:tmpl w:val="726C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823B2A"/>
    <w:multiLevelType w:val="hybridMultilevel"/>
    <w:tmpl w:val="6FD6EFFC"/>
    <w:lvl w:ilvl="0" w:tplc="04090001">
      <w:start w:val="1"/>
      <w:numFmt w:val="bullet"/>
      <w:lvlText w:val=""/>
      <w:lvlJc w:val="left"/>
      <w:pPr>
        <w:ind w:left="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576CC"/>
    <w:multiLevelType w:val="hybridMultilevel"/>
    <w:tmpl w:val="6D1C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90ADD"/>
    <w:multiLevelType w:val="hybridMultilevel"/>
    <w:tmpl w:val="761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2"/>
  </w:num>
  <w:num w:numId="4">
    <w:abstractNumId w:val="38"/>
  </w:num>
  <w:num w:numId="5">
    <w:abstractNumId w:val="5"/>
  </w:num>
  <w:num w:numId="6">
    <w:abstractNumId w:val="34"/>
  </w:num>
  <w:num w:numId="7">
    <w:abstractNumId w:val="4"/>
  </w:num>
  <w:num w:numId="8">
    <w:abstractNumId w:val="29"/>
  </w:num>
  <w:num w:numId="9">
    <w:abstractNumId w:val="15"/>
  </w:num>
  <w:num w:numId="10">
    <w:abstractNumId w:val="6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1"/>
  </w:num>
  <w:num w:numId="17">
    <w:abstractNumId w:val="18"/>
  </w:num>
  <w:num w:numId="18">
    <w:abstractNumId w:val="33"/>
  </w:num>
  <w:num w:numId="19">
    <w:abstractNumId w:val="8"/>
  </w:num>
  <w:num w:numId="20">
    <w:abstractNumId w:val="25"/>
  </w:num>
  <w:num w:numId="21">
    <w:abstractNumId w:val="31"/>
  </w:num>
  <w:num w:numId="22">
    <w:abstractNumId w:val="11"/>
  </w:num>
  <w:num w:numId="23">
    <w:abstractNumId w:val="7"/>
  </w:num>
  <w:num w:numId="24">
    <w:abstractNumId w:val="32"/>
  </w:num>
  <w:num w:numId="25">
    <w:abstractNumId w:val="13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6"/>
  </w:num>
  <w:num w:numId="32">
    <w:abstractNumId w:val="37"/>
  </w:num>
  <w:num w:numId="33">
    <w:abstractNumId w:val="9"/>
  </w:num>
  <w:num w:numId="34">
    <w:abstractNumId w:val="0"/>
  </w:num>
  <w:num w:numId="35">
    <w:abstractNumId w:val="27"/>
  </w:num>
  <w:num w:numId="36">
    <w:abstractNumId w:val="16"/>
  </w:num>
  <w:num w:numId="37">
    <w:abstractNumId w:val="39"/>
  </w:num>
  <w:num w:numId="38">
    <w:abstractNumId w:val="10"/>
  </w:num>
  <w:num w:numId="39">
    <w:abstractNumId w:val="3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2341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27E1"/>
    <w:rsid w:val="0012306F"/>
    <w:rsid w:val="00125E46"/>
    <w:rsid w:val="0012723C"/>
    <w:rsid w:val="00134D8D"/>
    <w:rsid w:val="00136A97"/>
    <w:rsid w:val="00137365"/>
    <w:rsid w:val="00150E02"/>
    <w:rsid w:val="001564CB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2DE3"/>
    <w:rsid w:val="001A3E9A"/>
    <w:rsid w:val="001A636E"/>
    <w:rsid w:val="001B63A1"/>
    <w:rsid w:val="001B75D0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7CE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3A2C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0B63"/>
    <w:rsid w:val="003D120B"/>
    <w:rsid w:val="003D4CCB"/>
    <w:rsid w:val="003D5759"/>
    <w:rsid w:val="003E45AA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41D6B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5879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61DC"/>
    <w:rsid w:val="00622F39"/>
    <w:rsid w:val="00626380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73A"/>
    <w:rsid w:val="0069387A"/>
    <w:rsid w:val="006939E5"/>
    <w:rsid w:val="006B0D7D"/>
    <w:rsid w:val="006B379A"/>
    <w:rsid w:val="006B6253"/>
    <w:rsid w:val="006C14EE"/>
    <w:rsid w:val="006C2A1C"/>
    <w:rsid w:val="006D0A3F"/>
    <w:rsid w:val="006D1B72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312C"/>
    <w:rsid w:val="007467DF"/>
    <w:rsid w:val="00756A61"/>
    <w:rsid w:val="0075708B"/>
    <w:rsid w:val="00757BC3"/>
    <w:rsid w:val="0076004A"/>
    <w:rsid w:val="00762481"/>
    <w:rsid w:val="0076444F"/>
    <w:rsid w:val="007872BC"/>
    <w:rsid w:val="00790CC5"/>
    <w:rsid w:val="007A377A"/>
    <w:rsid w:val="007A7477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6C2D"/>
    <w:rsid w:val="008A7731"/>
    <w:rsid w:val="008B4AB4"/>
    <w:rsid w:val="008B4CA7"/>
    <w:rsid w:val="008B57AF"/>
    <w:rsid w:val="008B7489"/>
    <w:rsid w:val="008C5194"/>
    <w:rsid w:val="008C78DD"/>
    <w:rsid w:val="008D30E6"/>
    <w:rsid w:val="008D3564"/>
    <w:rsid w:val="008E24AE"/>
    <w:rsid w:val="00901824"/>
    <w:rsid w:val="009069C2"/>
    <w:rsid w:val="009140FD"/>
    <w:rsid w:val="009241DC"/>
    <w:rsid w:val="00925EEF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3010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75488"/>
    <w:rsid w:val="00A845D0"/>
    <w:rsid w:val="00A869D4"/>
    <w:rsid w:val="00A87EC8"/>
    <w:rsid w:val="00A92C24"/>
    <w:rsid w:val="00A9589A"/>
    <w:rsid w:val="00A96BC4"/>
    <w:rsid w:val="00AA2E6E"/>
    <w:rsid w:val="00AA39E1"/>
    <w:rsid w:val="00AB37A6"/>
    <w:rsid w:val="00AC65D8"/>
    <w:rsid w:val="00AD16A0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23ACD"/>
    <w:rsid w:val="00B3093B"/>
    <w:rsid w:val="00B33201"/>
    <w:rsid w:val="00B33603"/>
    <w:rsid w:val="00B3735B"/>
    <w:rsid w:val="00B400BE"/>
    <w:rsid w:val="00B609BD"/>
    <w:rsid w:val="00B64A22"/>
    <w:rsid w:val="00B66919"/>
    <w:rsid w:val="00B72A3A"/>
    <w:rsid w:val="00B761F1"/>
    <w:rsid w:val="00B8440A"/>
    <w:rsid w:val="00B84C55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96217"/>
    <w:rsid w:val="00CA0F50"/>
    <w:rsid w:val="00CA6785"/>
    <w:rsid w:val="00CC2512"/>
    <w:rsid w:val="00CC278F"/>
    <w:rsid w:val="00CC416B"/>
    <w:rsid w:val="00CD14D0"/>
    <w:rsid w:val="00CD409E"/>
    <w:rsid w:val="00CD55E8"/>
    <w:rsid w:val="00D00C94"/>
    <w:rsid w:val="00D05ABC"/>
    <w:rsid w:val="00D1037C"/>
    <w:rsid w:val="00D137F7"/>
    <w:rsid w:val="00D1473D"/>
    <w:rsid w:val="00D201D5"/>
    <w:rsid w:val="00D2486F"/>
    <w:rsid w:val="00D258E9"/>
    <w:rsid w:val="00D276D6"/>
    <w:rsid w:val="00D33A2A"/>
    <w:rsid w:val="00D35718"/>
    <w:rsid w:val="00D40AC5"/>
    <w:rsid w:val="00D43B6D"/>
    <w:rsid w:val="00D51191"/>
    <w:rsid w:val="00D56177"/>
    <w:rsid w:val="00D5757E"/>
    <w:rsid w:val="00D60729"/>
    <w:rsid w:val="00D66F40"/>
    <w:rsid w:val="00D7198E"/>
    <w:rsid w:val="00D744FA"/>
    <w:rsid w:val="00D8185C"/>
    <w:rsid w:val="00D85875"/>
    <w:rsid w:val="00D8605F"/>
    <w:rsid w:val="00D8690A"/>
    <w:rsid w:val="00D870FE"/>
    <w:rsid w:val="00D96149"/>
    <w:rsid w:val="00DA16E8"/>
    <w:rsid w:val="00DA36B9"/>
    <w:rsid w:val="00DA387D"/>
    <w:rsid w:val="00DA6CA7"/>
    <w:rsid w:val="00DB6DD9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64165"/>
    <w:rsid w:val="00E70863"/>
    <w:rsid w:val="00E71C0D"/>
    <w:rsid w:val="00E725B6"/>
    <w:rsid w:val="00E7353D"/>
    <w:rsid w:val="00E766C6"/>
    <w:rsid w:val="00E80B5C"/>
    <w:rsid w:val="00E828F9"/>
    <w:rsid w:val="00E90C00"/>
    <w:rsid w:val="00E96804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0C26"/>
    <w:rsid w:val="00F1221F"/>
    <w:rsid w:val="00F179B3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7315C"/>
    <w:rsid w:val="00F82EF1"/>
    <w:rsid w:val="00F84D65"/>
    <w:rsid w:val="00F906D0"/>
    <w:rsid w:val="00F9394B"/>
    <w:rsid w:val="00FA24BD"/>
    <w:rsid w:val="00FA4096"/>
    <w:rsid w:val="00FA58FD"/>
    <w:rsid w:val="00FB1139"/>
    <w:rsid w:val="00FB2965"/>
    <w:rsid w:val="00FC0DC5"/>
    <w:rsid w:val="00FC3EDE"/>
    <w:rsid w:val="00FE717D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4F551F24-3DC6-49C7-A962-0AB5349A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3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paragraph" w:customStyle="1" w:styleId="p1">
    <w:name w:val="p1"/>
    <w:basedOn w:val="Normal"/>
    <w:rsid w:val="0076004A"/>
    <w:rPr>
      <w:rFonts w:ascii="Helvetica" w:eastAsiaTheme="minorHAnsi" w:hAnsi="Helvetica"/>
      <w:color w:val="323333"/>
      <w:sz w:val="21"/>
      <w:szCs w:val="21"/>
    </w:rPr>
  </w:style>
  <w:style w:type="character" w:customStyle="1" w:styleId="s1">
    <w:name w:val="s1"/>
    <w:basedOn w:val="DefaultParagraphFont"/>
    <w:rsid w:val="0076004A"/>
  </w:style>
  <w:style w:type="paragraph" w:customStyle="1" w:styleId="p4">
    <w:name w:val="p4"/>
    <w:basedOn w:val="Normal"/>
    <w:rsid w:val="0076004A"/>
    <w:rPr>
      <w:rFonts w:ascii="Helvetica" w:eastAsiaTheme="minorHAnsi" w:hAnsi="Helvetic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83252"/>
    <w:rsid w:val="0017236E"/>
    <w:rsid w:val="001C76A9"/>
    <w:rsid w:val="001E4D58"/>
    <w:rsid w:val="001F7109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E711B7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044364-B089-47D7-ACFB-8D22EB9A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5409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2016-07-12T18:00:00Z</cp:lastPrinted>
  <dcterms:created xsi:type="dcterms:W3CDTF">2017-01-31T20:36:00Z</dcterms:created>
  <dcterms:modified xsi:type="dcterms:W3CDTF">2017-08-22T19:12:00Z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