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412728" w:rsidRPr="00D15422" w:rsidRDefault="00412728" w:rsidP="0041272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30"/>
      <w:r w:rsidRPr="00D15422">
        <w:rPr>
          <w:rFonts w:ascii="Arial" w:eastAsiaTheme="majorEastAsia" w:hAnsi="Arial" w:cstheme="majorBidi"/>
          <w:b/>
          <w:bCs/>
          <w:caps/>
          <w:sz w:val="26"/>
          <w:szCs w:val="24"/>
        </w:rPr>
        <w:t>Assistant secretary for policy, department of homeland security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575"/>
        <w:gridCol w:w="216"/>
      </w:tblGrid>
      <w:tr w:rsidR="00224D1E" w:rsidRPr="00017B47"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B64A22" w:rsidRPr="00017B47" w:rsidRDefault="00B64A22" w:rsidP="00B64A22">
            <w:pPr>
              <w:jc w:val="center"/>
              <w:rPr>
                <w:rFonts w:asciiTheme="majorHAnsi" w:hAnsiTheme="majorHAnsi" w:cstheme="majorHAnsi"/>
                <w:b/>
              </w:rPr>
            </w:pPr>
            <w:r w:rsidRPr="00017B47">
              <w:rPr>
                <w:rFonts w:asciiTheme="majorHAnsi" w:hAnsiTheme="majorHAnsi" w:cstheme="majorHAnsi"/>
                <w:b/>
              </w:rPr>
              <w:t>OVERVIEW</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Senate Committee</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contextualSpacing/>
              <w:rPr>
                <w:rFonts w:asciiTheme="majorHAnsi" w:hAnsiTheme="majorHAnsi" w:cstheme="majorHAnsi"/>
                <w:bCs/>
                <w:i/>
              </w:rPr>
            </w:pPr>
            <w:r w:rsidRPr="00017B47">
              <w:rPr>
                <w:rFonts w:asciiTheme="majorHAnsi" w:hAnsiTheme="majorHAnsi" w:cstheme="majorHAnsi"/>
              </w:rPr>
              <w:t>Homeland Security &amp; Governmental Affairs Committee</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Agency Mission</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contextualSpacing/>
              <w:rPr>
                <w:rFonts w:asciiTheme="majorHAnsi" w:eastAsia="Calibri" w:hAnsiTheme="majorHAnsi" w:cstheme="majorHAnsi"/>
              </w:rPr>
            </w:pPr>
            <w:r w:rsidRPr="00017B47">
              <w:rPr>
                <w:rFonts w:asciiTheme="majorHAnsi" w:hAnsiTheme="majorHAnsi" w:cstheme="majorHAnsi"/>
                <w:bCs/>
              </w:rPr>
              <w:t>To ensure that homeland is safe, secure and resilient against terrorism and other potential threats.</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Position Overview</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 xml:space="preserve">The Office of Policy and its leadership serve as a central resource to the Secretary and other Department leaders for strategic planning and analysis and facilitation of decision making on the full breadth of issues that may arise across the dynamic homeland security enterprise. The Office of Policy includes sub-component offices and an advisory council, all of which is managed by the assistant secretary and supported by the Policy Executive Office. </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Compensation</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68701A" w:rsidP="005849B0">
            <w:pPr>
              <w:contextualSpacing/>
              <w:rPr>
                <w:rFonts w:asciiTheme="majorHAnsi" w:hAnsiTheme="majorHAnsi" w:cstheme="majorHAnsi"/>
              </w:rPr>
            </w:pPr>
            <w:r w:rsidRPr="00017B47">
              <w:rPr>
                <w:rFonts w:asciiTheme="majorHAnsi" w:hAnsiTheme="majorHAnsi" w:cstheme="majorHAnsi"/>
              </w:rPr>
              <w:t>Level IV $</w:t>
            </w:r>
            <w:r w:rsidR="005849B0">
              <w:rPr>
                <w:rFonts w:asciiTheme="majorHAnsi" w:hAnsiTheme="majorHAnsi" w:cstheme="majorHAnsi"/>
              </w:rPr>
              <w:t>155,500</w:t>
            </w:r>
            <w:r w:rsidR="009033D6" w:rsidRPr="00017B47">
              <w:rPr>
                <w:rFonts w:asciiTheme="majorHAnsi" w:hAnsiTheme="majorHAnsi" w:cstheme="majorHAnsi"/>
              </w:rPr>
              <w:t xml:space="preserve"> (5 U.S.C. § 5315)</w:t>
            </w:r>
            <w:r w:rsidRPr="00017B47">
              <w:rPr>
                <w:rStyle w:val="EndnoteReference"/>
                <w:rFonts w:asciiTheme="majorHAnsi" w:hAnsiTheme="majorHAnsi" w:cstheme="majorHAnsi"/>
              </w:rPr>
              <w:endnoteReference w:id="1"/>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Position Reports to</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Secretary and Deputy Secretary of Homeland Security</w:t>
            </w:r>
          </w:p>
        </w:tc>
      </w:tr>
      <w:tr w:rsidR="00684398" w:rsidRPr="00017B47"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17B47" w:rsidRDefault="00684398" w:rsidP="00684398">
            <w:pPr>
              <w:jc w:val="center"/>
              <w:rPr>
                <w:rFonts w:asciiTheme="majorHAnsi" w:hAnsiTheme="majorHAnsi" w:cstheme="majorHAnsi"/>
                <w:b/>
              </w:rPr>
            </w:pPr>
            <w:r w:rsidRPr="00017B47">
              <w:rPr>
                <w:rFonts w:asciiTheme="majorHAnsi" w:hAnsiTheme="majorHAnsi" w:cstheme="majorHAnsi"/>
                <w:b/>
              </w:rPr>
              <w:t>RESPONSIBILITIES</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Management Scope</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017B47" w:rsidP="009033D6">
            <w:pPr>
              <w:rPr>
                <w:rFonts w:asciiTheme="majorHAnsi" w:hAnsiTheme="majorHAnsi" w:cstheme="majorHAnsi"/>
              </w:rPr>
            </w:pPr>
            <w:r w:rsidRPr="00017B47">
              <w:rPr>
                <w:rFonts w:asciiTheme="majorHAnsi" w:hAnsiTheme="majorHAnsi" w:cstheme="majorHAnsi"/>
              </w:rPr>
              <w:t xml:space="preserve">In fiscal 2015, DHS had $42.573 billion in outlays and 166,777 total employment. </w:t>
            </w:r>
            <w:r w:rsidR="009033D6" w:rsidRPr="00017B47">
              <w:rPr>
                <w:rFonts w:asciiTheme="majorHAnsi" w:hAnsiTheme="majorHAnsi" w:cstheme="majorHAnsi"/>
              </w:rPr>
              <w:t xml:space="preserve">The assistant secretary manages the 250-person DHS Policy Directorate, including oversight of six sub-component heads: </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International affairs and chief diplomatic officer</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Principal deputy assistant secretary</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Assistant secretary for cyber policy</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Assistant secretary for border, immigration and security policy</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Assistant secretary for threat prevention and security policy</w:t>
            </w:r>
          </w:p>
          <w:p w:rsidR="009033D6" w:rsidRPr="00017B47" w:rsidRDefault="009033D6" w:rsidP="009033D6">
            <w:pPr>
              <w:numPr>
                <w:ilvl w:val="0"/>
                <w:numId w:val="39"/>
              </w:numPr>
              <w:ind w:left="434"/>
              <w:contextualSpacing/>
              <w:rPr>
                <w:rFonts w:asciiTheme="majorHAnsi" w:eastAsia="Calibri" w:hAnsiTheme="majorHAnsi" w:cstheme="majorHAnsi"/>
                <w:bCs/>
              </w:rPr>
            </w:pPr>
            <w:r w:rsidRPr="00017B47">
              <w:rPr>
                <w:rFonts w:asciiTheme="majorHAnsi" w:eastAsia="Calibri" w:hAnsiTheme="majorHAnsi" w:cstheme="majorHAnsi"/>
              </w:rPr>
              <w:t xml:space="preserve">Assistant secretary for strategy, planning, analysis and risk </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Primary Responsibilities</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numPr>
                <w:ilvl w:val="0"/>
                <w:numId w:val="39"/>
              </w:numPr>
              <w:ind w:left="434"/>
              <w:contextualSpacing/>
              <w:rPr>
                <w:rFonts w:asciiTheme="majorHAnsi" w:eastAsia="Calibri" w:hAnsiTheme="majorHAnsi" w:cstheme="majorHAnsi"/>
              </w:rPr>
            </w:pPr>
            <w:r w:rsidRPr="00017B47">
              <w:rPr>
                <w:rFonts w:asciiTheme="majorHAnsi" w:eastAsia="Calibri" w:hAnsiTheme="majorHAnsi" w:cstheme="majorHAnsi"/>
              </w:rPr>
              <w:t>Provides a central office to develop and communicate policies across multiple homeland security components to strengthen the department’s ability to maintain policy and operational readiness needed to protect the homeland.</w:t>
            </w:r>
          </w:p>
          <w:p w:rsidR="009033D6" w:rsidRPr="00017B47" w:rsidRDefault="009033D6" w:rsidP="009033D6">
            <w:pPr>
              <w:numPr>
                <w:ilvl w:val="0"/>
                <w:numId w:val="39"/>
              </w:numPr>
              <w:ind w:left="434"/>
              <w:contextualSpacing/>
              <w:rPr>
                <w:rFonts w:asciiTheme="majorHAnsi" w:eastAsia="Calibri" w:hAnsiTheme="majorHAnsi" w:cstheme="majorHAnsi"/>
              </w:rPr>
            </w:pPr>
            <w:r w:rsidRPr="00017B47">
              <w:rPr>
                <w:rFonts w:asciiTheme="majorHAnsi" w:eastAsia="Calibri" w:hAnsiTheme="majorHAnsi" w:cstheme="majorHAnsi"/>
              </w:rPr>
              <w:t>Provides the foundation and direction for department-wide strategic and counter-terrorism planning initiatives that drive budget priorities.</w:t>
            </w:r>
          </w:p>
          <w:p w:rsidR="009033D6" w:rsidRPr="00017B47" w:rsidRDefault="009033D6" w:rsidP="009033D6">
            <w:pPr>
              <w:numPr>
                <w:ilvl w:val="0"/>
                <w:numId w:val="39"/>
              </w:numPr>
              <w:ind w:left="434"/>
              <w:contextualSpacing/>
              <w:rPr>
                <w:rFonts w:asciiTheme="majorHAnsi" w:eastAsia="Calibri" w:hAnsiTheme="majorHAnsi" w:cstheme="majorHAnsi"/>
              </w:rPr>
            </w:pPr>
            <w:r w:rsidRPr="00017B47">
              <w:rPr>
                <w:rFonts w:asciiTheme="majorHAnsi" w:eastAsia="Calibri" w:hAnsiTheme="majorHAnsi" w:cstheme="majorHAnsi"/>
              </w:rPr>
              <w:t>Liaises with both the international community and private sector to advance homeland security initiatives and develop lasting partnerships.</w:t>
            </w:r>
          </w:p>
          <w:p w:rsidR="009033D6" w:rsidRPr="00017B47" w:rsidRDefault="009033D6" w:rsidP="009033D6">
            <w:pPr>
              <w:numPr>
                <w:ilvl w:val="0"/>
                <w:numId w:val="39"/>
              </w:numPr>
              <w:ind w:left="434"/>
              <w:contextualSpacing/>
              <w:rPr>
                <w:rFonts w:asciiTheme="majorHAnsi" w:eastAsia="Calibri" w:hAnsiTheme="majorHAnsi" w:cstheme="majorHAnsi"/>
              </w:rPr>
            </w:pPr>
            <w:r w:rsidRPr="00017B47">
              <w:rPr>
                <w:rFonts w:asciiTheme="majorHAnsi" w:eastAsia="Calibri" w:hAnsiTheme="majorHAnsi" w:cstheme="majorHAnsi"/>
              </w:rPr>
              <w:t>Bridges multiple headquarters’ components and operating agencies to improve communication among DHS entities, eliminate duplication of effort and translate policies into timely action.</w:t>
            </w:r>
          </w:p>
          <w:p w:rsidR="009033D6" w:rsidRPr="00017B47" w:rsidRDefault="009033D6" w:rsidP="009033D6">
            <w:pPr>
              <w:numPr>
                <w:ilvl w:val="0"/>
                <w:numId w:val="39"/>
              </w:numPr>
              <w:ind w:left="434"/>
              <w:contextualSpacing/>
              <w:rPr>
                <w:rFonts w:asciiTheme="majorHAnsi" w:eastAsia="Calibri" w:hAnsiTheme="majorHAnsi" w:cstheme="majorHAnsi"/>
              </w:rPr>
            </w:pPr>
            <w:r w:rsidRPr="00017B47">
              <w:rPr>
                <w:rFonts w:asciiTheme="majorHAnsi" w:eastAsia="Calibri" w:hAnsiTheme="majorHAnsi" w:cstheme="majorHAnsi"/>
              </w:rPr>
              <w:lastRenderedPageBreak/>
              <w:t>Coordinates relationships with law enforcement and public advisory committees.</w:t>
            </w:r>
          </w:p>
        </w:tc>
      </w:tr>
      <w:tr w:rsidR="00684398"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17B47" w:rsidRDefault="00684398" w:rsidP="00684398">
            <w:pPr>
              <w:rPr>
                <w:rFonts w:asciiTheme="majorHAnsi" w:hAnsiTheme="majorHAnsi" w:cstheme="majorHAnsi"/>
              </w:rPr>
            </w:pPr>
            <w:r w:rsidRPr="00017B47">
              <w:rPr>
                <w:rFonts w:asciiTheme="majorHAnsi" w:hAnsiTheme="majorHAnsi" w:cstheme="majorHAnsi"/>
              </w:rPr>
              <w:lastRenderedPageBreak/>
              <w:t>Strategic Goals and Priorities</w:t>
            </w:r>
          </w:p>
        </w:tc>
        <w:tc>
          <w:tcPr>
            <w:tcW w:w="6791" w:type="dxa"/>
            <w:gridSpan w:val="2"/>
            <w:tcBorders>
              <w:top w:val="single" w:sz="2" w:space="0" w:color="auto"/>
              <w:left w:val="single" w:sz="2" w:space="0" w:color="auto"/>
              <w:bottom w:val="single" w:sz="2" w:space="0" w:color="auto"/>
              <w:right w:val="single" w:sz="2" w:space="0" w:color="auto"/>
            </w:tcBorders>
            <w:vAlign w:val="center"/>
          </w:tcPr>
          <w:p w:rsidR="00684398" w:rsidRPr="00017B47" w:rsidRDefault="00684398" w:rsidP="00684398">
            <w:pPr>
              <w:ind w:left="72"/>
              <w:jc w:val="center"/>
              <w:rPr>
                <w:rFonts w:asciiTheme="majorHAnsi" w:hAnsiTheme="majorHAnsi" w:cstheme="majorHAnsi"/>
              </w:rPr>
            </w:pPr>
          </w:p>
          <w:p w:rsidR="00684398" w:rsidRPr="00017B47" w:rsidRDefault="00684398" w:rsidP="00684398">
            <w:pPr>
              <w:ind w:left="72"/>
              <w:jc w:val="center"/>
              <w:rPr>
                <w:rFonts w:asciiTheme="majorHAnsi" w:hAnsiTheme="majorHAnsi" w:cstheme="majorHAnsi"/>
              </w:rPr>
            </w:pPr>
          </w:p>
          <w:p w:rsidR="00684398" w:rsidRPr="00017B47" w:rsidRDefault="00684398" w:rsidP="00684398">
            <w:pPr>
              <w:ind w:left="72"/>
              <w:jc w:val="center"/>
              <w:rPr>
                <w:rFonts w:asciiTheme="majorHAnsi" w:hAnsiTheme="majorHAnsi" w:cstheme="majorHAnsi"/>
              </w:rPr>
            </w:pPr>
            <w:r w:rsidRPr="00017B47">
              <w:rPr>
                <w:rFonts w:asciiTheme="majorHAnsi" w:hAnsiTheme="majorHAnsi" w:cstheme="majorHAnsi"/>
              </w:rPr>
              <w:t>[Depends on the policy priorities of the administration]</w:t>
            </w:r>
          </w:p>
          <w:p w:rsidR="00684398" w:rsidRPr="00017B47" w:rsidRDefault="00684398" w:rsidP="00684398">
            <w:pPr>
              <w:ind w:left="72"/>
              <w:jc w:val="center"/>
              <w:rPr>
                <w:rFonts w:asciiTheme="majorHAnsi" w:hAnsiTheme="majorHAnsi" w:cstheme="majorHAnsi"/>
              </w:rPr>
            </w:pPr>
          </w:p>
          <w:p w:rsidR="00684398" w:rsidRPr="00017B47" w:rsidRDefault="00684398" w:rsidP="00684398">
            <w:pPr>
              <w:ind w:left="72"/>
              <w:jc w:val="center"/>
              <w:rPr>
                <w:rFonts w:asciiTheme="majorHAnsi" w:hAnsiTheme="majorHAnsi" w:cstheme="majorHAnsi"/>
              </w:rPr>
            </w:pPr>
          </w:p>
        </w:tc>
      </w:tr>
      <w:tr w:rsidR="00684398" w:rsidRPr="00017B47"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17B47" w:rsidRDefault="00684398" w:rsidP="00684398">
            <w:pPr>
              <w:jc w:val="center"/>
              <w:rPr>
                <w:rFonts w:asciiTheme="majorHAnsi" w:hAnsiTheme="majorHAnsi" w:cstheme="majorHAnsi"/>
                <w:b/>
              </w:rPr>
            </w:pPr>
            <w:r w:rsidRPr="00017B47">
              <w:rPr>
                <w:rFonts w:asciiTheme="majorHAnsi" w:hAnsiTheme="majorHAnsi" w:cstheme="majorHAnsi"/>
                <w:b/>
              </w:rPr>
              <w:t>REQUIREMENTS AND COMPETENCIES</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numPr>
                <w:ilvl w:val="0"/>
                <w:numId w:val="31"/>
              </w:numPr>
              <w:contextualSpacing/>
              <w:rPr>
                <w:rFonts w:asciiTheme="majorHAnsi" w:eastAsia="Calibri" w:hAnsiTheme="majorHAnsi" w:cstheme="majorHAnsi"/>
              </w:rPr>
            </w:pPr>
            <w:r w:rsidRPr="00017B47">
              <w:rPr>
                <w:rFonts w:asciiTheme="majorHAnsi" w:eastAsia="Calibri" w:hAnsiTheme="majorHAnsi" w:cstheme="majorHAnsi"/>
              </w:rPr>
              <w:t>Broad understanding of the department’s activities</w:t>
            </w:r>
          </w:p>
          <w:p w:rsidR="009033D6" w:rsidRPr="00017B47" w:rsidRDefault="009033D6" w:rsidP="009033D6">
            <w:pPr>
              <w:numPr>
                <w:ilvl w:val="0"/>
                <w:numId w:val="31"/>
              </w:numPr>
              <w:contextualSpacing/>
              <w:rPr>
                <w:rFonts w:asciiTheme="majorHAnsi" w:eastAsia="Calibri" w:hAnsiTheme="majorHAnsi" w:cstheme="majorHAnsi"/>
              </w:rPr>
            </w:pPr>
            <w:r w:rsidRPr="00017B47">
              <w:rPr>
                <w:rFonts w:asciiTheme="majorHAnsi" w:eastAsia="Calibri" w:hAnsiTheme="majorHAnsi" w:cstheme="majorHAnsi"/>
              </w:rPr>
              <w:t>Background in national security policy, including relevant experience in government, think tanks and/or academia</w:t>
            </w:r>
          </w:p>
          <w:p w:rsidR="009033D6" w:rsidRPr="00017B47" w:rsidRDefault="009033D6" w:rsidP="009033D6">
            <w:pPr>
              <w:numPr>
                <w:ilvl w:val="0"/>
                <w:numId w:val="31"/>
              </w:numPr>
              <w:contextualSpacing/>
              <w:rPr>
                <w:rFonts w:asciiTheme="majorHAnsi" w:eastAsia="Calibri" w:hAnsiTheme="majorHAnsi" w:cstheme="majorHAnsi"/>
              </w:rPr>
            </w:pPr>
            <w:r w:rsidRPr="00017B47">
              <w:rPr>
                <w:rFonts w:asciiTheme="majorHAnsi" w:eastAsia="Calibri" w:hAnsiTheme="majorHAnsi" w:cstheme="majorHAnsi"/>
              </w:rPr>
              <w:t>Experience in strategic planning</w:t>
            </w:r>
          </w:p>
          <w:p w:rsidR="009033D6" w:rsidRPr="00017B47" w:rsidRDefault="009033D6" w:rsidP="009033D6">
            <w:pPr>
              <w:numPr>
                <w:ilvl w:val="0"/>
                <w:numId w:val="31"/>
              </w:numPr>
              <w:contextualSpacing/>
              <w:rPr>
                <w:rFonts w:asciiTheme="majorHAnsi" w:eastAsia="Calibri" w:hAnsiTheme="majorHAnsi" w:cstheme="majorHAnsi"/>
              </w:rPr>
            </w:pPr>
            <w:r w:rsidRPr="00017B47">
              <w:rPr>
                <w:rFonts w:asciiTheme="majorHAnsi" w:eastAsia="Calibri" w:hAnsiTheme="majorHAnsi" w:cstheme="majorHAnsi"/>
              </w:rPr>
              <w:t>Leadership and management experience</w:t>
            </w:r>
          </w:p>
        </w:tc>
      </w:tr>
      <w:tr w:rsidR="009033D6" w:rsidRPr="00017B4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033D6" w:rsidRPr="00017B47" w:rsidRDefault="009033D6" w:rsidP="009033D6">
            <w:pPr>
              <w:contextualSpacing/>
              <w:rPr>
                <w:rFonts w:asciiTheme="majorHAnsi" w:hAnsiTheme="majorHAnsi" w:cstheme="majorHAnsi"/>
              </w:rPr>
            </w:pPr>
            <w:r w:rsidRPr="00017B47">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9033D6">
            <w:pPr>
              <w:numPr>
                <w:ilvl w:val="0"/>
                <w:numId w:val="40"/>
              </w:numPr>
              <w:ind w:left="432"/>
              <w:contextualSpacing/>
              <w:rPr>
                <w:rFonts w:asciiTheme="majorHAnsi" w:eastAsia="Calibri" w:hAnsiTheme="majorHAnsi" w:cstheme="majorHAnsi"/>
                <w:bCs/>
              </w:rPr>
            </w:pPr>
            <w:r w:rsidRPr="00017B47">
              <w:rPr>
                <w:rFonts w:asciiTheme="majorHAnsi" w:eastAsia="Calibri" w:hAnsiTheme="majorHAnsi" w:cstheme="majorHAnsi"/>
                <w:bCs/>
                <w:i/>
              </w:rPr>
              <w:t>Strategic Orientation</w:t>
            </w:r>
            <w:r w:rsidRPr="00017B47">
              <w:rPr>
                <w:rFonts w:asciiTheme="majorHAnsi" w:eastAsia="Calibri" w:hAnsiTheme="majorHAnsi" w:cstheme="majorHAnsi"/>
                <w:bCs/>
              </w:rPr>
              <w:t>: Demonstrates complex thinking abilities, incorporating both analytical and conceptual abilities to manage and develop plans and strategies</w:t>
            </w:r>
          </w:p>
          <w:p w:rsidR="009033D6" w:rsidRPr="00017B47" w:rsidRDefault="009033D6" w:rsidP="009033D6">
            <w:pPr>
              <w:numPr>
                <w:ilvl w:val="0"/>
                <w:numId w:val="40"/>
              </w:numPr>
              <w:ind w:left="432"/>
              <w:contextualSpacing/>
              <w:rPr>
                <w:rFonts w:asciiTheme="majorHAnsi" w:eastAsia="Calibri" w:hAnsiTheme="majorHAnsi" w:cstheme="majorHAnsi"/>
                <w:bCs/>
              </w:rPr>
            </w:pPr>
            <w:r w:rsidRPr="00017B47">
              <w:rPr>
                <w:rFonts w:asciiTheme="majorHAnsi" w:eastAsia="Calibri" w:hAnsiTheme="majorHAnsi" w:cstheme="majorHAnsi"/>
                <w:bCs/>
                <w:i/>
              </w:rPr>
              <w:t>Results Orientation</w:t>
            </w:r>
            <w:r w:rsidRPr="00017B47">
              <w:rPr>
                <w:rFonts w:asciiTheme="majorHAnsi" w:eastAsia="Calibri" w:hAnsiTheme="majorHAnsi" w:cstheme="majorHAnsi"/>
                <w:bCs/>
              </w:rPr>
              <w:t>: Drive for improvement of results demonstrated by a track record of substantially enhancing performance or organizations</w:t>
            </w:r>
          </w:p>
          <w:p w:rsidR="009033D6" w:rsidRPr="00017B47" w:rsidRDefault="009033D6" w:rsidP="009033D6">
            <w:pPr>
              <w:numPr>
                <w:ilvl w:val="0"/>
                <w:numId w:val="40"/>
              </w:numPr>
              <w:ind w:left="432"/>
              <w:contextualSpacing/>
              <w:rPr>
                <w:rFonts w:asciiTheme="majorHAnsi" w:eastAsia="Calibri" w:hAnsiTheme="majorHAnsi" w:cstheme="majorHAnsi"/>
                <w:bCs/>
              </w:rPr>
            </w:pPr>
            <w:r w:rsidRPr="00017B47">
              <w:rPr>
                <w:rFonts w:asciiTheme="majorHAnsi" w:eastAsia="Calibri" w:hAnsiTheme="majorHAnsi" w:cstheme="majorHAnsi"/>
                <w:bCs/>
                <w:i/>
              </w:rPr>
              <w:t>Team Leadership</w:t>
            </w:r>
            <w:r w:rsidRPr="00017B47">
              <w:rPr>
                <w:rFonts w:asciiTheme="majorHAnsi" w:eastAsia="Calibri" w:hAnsiTheme="majorHAnsi" w:cstheme="majorHAnsi"/>
                <w:bCs/>
              </w:rPr>
              <w:t>: Can focus, align and build effective groups</w:t>
            </w:r>
          </w:p>
          <w:p w:rsidR="009033D6" w:rsidRPr="00017B47" w:rsidRDefault="009033D6" w:rsidP="009033D6">
            <w:pPr>
              <w:numPr>
                <w:ilvl w:val="0"/>
                <w:numId w:val="40"/>
              </w:numPr>
              <w:ind w:left="432"/>
              <w:contextualSpacing/>
              <w:rPr>
                <w:rFonts w:asciiTheme="majorHAnsi" w:eastAsia="Calibri" w:hAnsiTheme="majorHAnsi" w:cstheme="majorHAnsi"/>
                <w:bCs/>
              </w:rPr>
            </w:pPr>
            <w:r w:rsidRPr="00017B47">
              <w:rPr>
                <w:rFonts w:asciiTheme="majorHAnsi" w:eastAsia="Calibri" w:hAnsiTheme="majorHAnsi" w:cstheme="majorHAnsi"/>
                <w:bCs/>
                <w:i/>
              </w:rPr>
              <w:t>Collaboration &amp; Influencing</w:t>
            </w:r>
            <w:r w:rsidRPr="00017B47">
              <w:rPr>
                <w:rFonts w:asciiTheme="majorHAnsi" w:eastAsia="Calibri" w:hAnsiTheme="majorHAnsi" w:cstheme="majorHAnsi"/>
                <w:bCs/>
              </w:rPr>
              <w:t>: Works effectively with peers, partners and others who are not in the line of command</w:t>
            </w:r>
          </w:p>
        </w:tc>
      </w:tr>
      <w:tr w:rsidR="00684398" w:rsidRPr="00017B47"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17B47" w:rsidRDefault="00684398" w:rsidP="00684398">
            <w:pPr>
              <w:jc w:val="center"/>
              <w:rPr>
                <w:rFonts w:asciiTheme="majorHAnsi" w:hAnsiTheme="majorHAnsi" w:cstheme="majorHAnsi"/>
                <w:b/>
              </w:rPr>
            </w:pPr>
            <w:r w:rsidRPr="00017B47">
              <w:rPr>
                <w:rFonts w:asciiTheme="majorHAnsi" w:hAnsiTheme="majorHAnsi" w:cstheme="majorHAnsi"/>
                <w:b/>
              </w:rPr>
              <w:t>PAST APPOINTEES</w:t>
            </w:r>
          </w:p>
        </w:tc>
      </w:tr>
      <w:tr w:rsidR="009033D6" w:rsidRPr="00017B47" w:rsidTr="009033D6">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72793A">
            <w:pPr>
              <w:contextualSpacing/>
              <w:rPr>
                <w:rFonts w:asciiTheme="majorHAnsi" w:hAnsiTheme="majorHAnsi" w:cstheme="majorHAnsi"/>
              </w:rPr>
            </w:pPr>
            <w:r w:rsidRPr="00017B47">
              <w:rPr>
                <w:rFonts w:asciiTheme="majorHAnsi" w:hAnsiTheme="majorHAnsi" w:cstheme="majorHAnsi"/>
              </w:rPr>
              <w:t xml:space="preserve">David </w:t>
            </w:r>
            <w:proofErr w:type="spellStart"/>
            <w:r w:rsidRPr="00017B47">
              <w:rPr>
                <w:rFonts w:asciiTheme="majorHAnsi" w:hAnsiTheme="majorHAnsi" w:cstheme="majorHAnsi"/>
              </w:rPr>
              <w:t>Heyman</w:t>
            </w:r>
            <w:proofErr w:type="spellEnd"/>
            <w:r w:rsidRPr="00017B47">
              <w:rPr>
                <w:rFonts w:asciiTheme="majorHAnsi" w:hAnsiTheme="majorHAnsi" w:cstheme="majorHAnsi"/>
              </w:rPr>
              <w:t>, 2009 – 2014, Founding Director and Senior Fellow, Center for Strategic and International Studies (CSIS); Senior Advisor to the Secretary of Energy, DoE; Senior Policy Advisor for National Security and International Affairs, The White House</w:t>
            </w:r>
          </w:p>
        </w:tc>
      </w:tr>
      <w:tr w:rsidR="009033D6" w:rsidRPr="00017B47" w:rsidTr="009033D6">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9033D6" w:rsidRPr="00017B47" w:rsidRDefault="009033D6" w:rsidP="0072793A">
            <w:pPr>
              <w:contextualSpacing/>
              <w:rPr>
                <w:rFonts w:asciiTheme="majorHAnsi" w:hAnsiTheme="majorHAnsi" w:cstheme="majorHAnsi"/>
              </w:rPr>
            </w:pPr>
            <w:r w:rsidRPr="00017B47">
              <w:rPr>
                <w:rFonts w:asciiTheme="majorHAnsi" w:hAnsiTheme="majorHAnsi" w:cstheme="majorHAnsi"/>
              </w:rPr>
              <w:t>Stewart Baker, 2005 – 2009, General Counsel, Robb-Silberman Commission; Partner, Steptoe&amp; Johnson; General Counsel, National Security Agency</w:t>
            </w:r>
          </w:p>
        </w:tc>
      </w:tr>
    </w:tbl>
    <w:bookmarkEnd w:id="0"/>
    <w:p w:rsidR="00017B47" w:rsidRDefault="00017B47" w:rsidP="00017B47">
      <w:pPr>
        <w:pStyle w:val="Heading1"/>
        <w:rPr>
          <w:rFonts w:eastAsia="Times New Roman"/>
          <w:sz w:val="20"/>
          <w:szCs w:val="20"/>
        </w:rPr>
      </w:pPr>
      <w:r>
        <w:rPr>
          <w:rFonts w:eastAsia="Times New Roman"/>
          <w:sz w:val="20"/>
          <w:szCs w:val="20"/>
        </w:rPr>
        <w:t>Endnotes</w:t>
      </w:r>
    </w:p>
    <w:p w:rsidR="00224D1E" w:rsidRPr="00017B47" w:rsidRDefault="00017B47">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017B4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C1" w:rsidRDefault="006A77C1" w:rsidP="001E22F1">
      <w:r>
        <w:separator/>
      </w:r>
    </w:p>
  </w:endnote>
  <w:endnote w:type="continuationSeparator" w:id="0">
    <w:p w:rsidR="006A77C1" w:rsidRDefault="006A77C1" w:rsidP="001E22F1">
      <w:r>
        <w:continuationSeparator/>
      </w:r>
    </w:p>
  </w:endnote>
  <w:endnote w:id="1">
    <w:p w:rsidR="006159B3" w:rsidRPr="00017B47" w:rsidRDefault="0068701A" w:rsidP="00017B47">
      <w:pPr>
        <w:pStyle w:val="EndnoteText"/>
      </w:pPr>
      <w:r>
        <w:rPr>
          <w:rStyle w:val="EndnoteReference"/>
        </w:rPr>
        <w:endnoteRef/>
      </w:r>
      <w:r w:rsidR="00017B47">
        <w:t xml:space="preserve"> </w:t>
      </w:r>
      <w:r w:rsidR="005849B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C1" w:rsidRDefault="006A77C1" w:rsidP="001E22F1">
      <w:r>
        <w:separator/>
      </w:r>
    </w:p>
  </w:footnote>
  <w:footnote w:type="continuationSeparator" w:id="0">
    <w:p w:rsidR="006A77C1" w:rsidRDefault="006A77C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5849B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66C"/>
    <w:multiLevelType w:val="hybridMultilevel"/>
    <w:tmpl w:val="B07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3855"/>
    <w:multiLevelType w:val="hybridMultilevel"/>
    <w:tmpl w:val="BE0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3"/>
  </w:num>
  <w:num w:numId="4">
    <w:abstractNumId w:val="39"/>
  </w:num>
  <w:num w:numId="5">
    <w:abstractNumId w:val="7"/>
  </w:num>
  <w:num w:numId="6">
    <w:abstractNumId w:val="35"/>
  </w:num>
  <w:num w:numId="7">
    <w:abstractNumId w:val="6"/>
  </w:num>
  <w:num w:numId="8">
    <w:abstractNumId w:val="31"/>
  </w:num>
  <w:num w:numId="9">
    <w:abstractNumId w:val="16"/>
  </w:num>
  <w:num w:numId="10">
    <w:abstractNumId w:val="8"/>
  </w:num>
  <w:num w:numId="11">
    <w:abstractNumId w:val="15"/>
  </w:num>
  <w:num w:numId="12">
    <w:abstractNumId w:val="24"/>
  </w:num>
  <w:num w:numId="13">
    <w:abstractNumId w:val="22"/>
  </w:num>
  <w:num w:numId="14">
    <w:abstractNumId w:val="26"/>
  </w:num>
  <w:num w:numId="15">
    <w:abstractNumId w:val="28"/>
  </w:num>
  <w:num w:numId="16">
    <w:abstractNumId w:val="1"/>
  </w:num>
  <w:num w:numId="17">
    <w:abstractNumId w:val="19"/>
  </w:num>
  <w:num w:numId="18">
    <w:abstractNumId w:val="34"/>
  </w:num>
  <w:num w:numId="19">
    <w:abstractNumId w:val="10"/>
  </w:num>
  <w:num w:numId="20">
    <w:abstractNumId w:val="27"/>
  </w:num>
  <w:num w:numId="21">
    <w:abstractNumId w:val="32"/>
  </w:num>
  <w:num w:numId="22">
    <w:abstractNumId w:val="12"/>
  </w:num>
  <w:num w:numId="23">
    <w:abstractNumId w:val="9"/>
  </w:num>
  <w:num w:numId="24">
    <w:abstractNumId w:val="33"/>
  </w:num>
  <w:num w:numId="25">
    <w:abstractNumId w:val="14"/>
  </w:num>
  <w:num w:numId="26">
    <w:abstractNumId w:val="3"/>
  </w:num>
  <w:num w:numId="27">
    <w:abstractNumId w:val="20"/>
  </w:num>
  <w:num w:numId="28">
    <w:abstractNumId w:val="17"/>
  </w:num>
  <w:num w:numId="29">
    <w:abstractNumId w:val="21"/>
  </w:num>
  <w:num w:numId="30">
    <w:abstractNumId w:val="30"/>
  </w:num>
  <w:num w:numId="31">
    <w:abstractNumId w:val="37"/>
  </w:num>
  <w:num w:numId="32">
    <w:abstractNumId w:val="38"/>
  </w:num>
  <w:num w:numId="33">
    <w:abstractNumId w:val="11"/>
  </w:num>
  <w:num w:numId="34">
    <w:abstractNumId w:val="0"/>
  </w:num>
  <w:num w:numId="35">
    <w:abstractNumId w:val="29"/>
  </w:num>
  <w:num w:numId="36">
    <w:abstractNumId w:val="23"/>
  </w:num>
  <w:num w:numId="37">
    <w:abstractNumId w:val="25"/>
  </w:num>
  <w:num w:numId="38">
    <w:abstractNumId w:val="18"/>
  </w:num>
  <w:num w:numId="39">
    <w:abstractNumId w:val="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17B47"/>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2728"/>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49B0"/>
    <w:rsid w:val="0058599E"/>
    <w:rsid w:val="005B0C70"/>
    <w:rsid w:val="005B44AE"/>
    <w:rsid w:val="005D4099"/>
    <w:rsid w:val="005D5806"/>
    <w:rsid w:val="005D5F5A"/>
    <w:rsid w:val="005E6E2F"/>
    <w:rsid w:val="005F2771"/>
    <w:rsid w:val="006013AB"/>
    <w:rsid w:val="00602B9F"/>
    <w:rsid w:val="00603EFC"/>
    <w:rsid w:val="006159B3"/>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01A"/>
    <w:rsid w:val="00687A9E"/>
    <w:rsid w:val="0069387A"/>
    <w:rsid w:val="006939E5"/>
    <w:rsid w:val="006A77C1"/>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33D6"/>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105E"/>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EF7049"/>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19143000">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848CB"/>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C9AEE0-C003-4893-B604-1CE3C5F7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2017-02-17T18:11:00Z</dcterms:created>
  <dcterms:modified xsi:type="dcterms:W3CDTF">2017-08-23T18:24:00Z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