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r w:rsidR="00E2436B">
        <w:rPr>
          <w:rFonts w:asciiTheme="majorHAnsi" w:hAnsiTheme="majorHAnsi" w:cstheme="majorHAnsi"/>
          <w:b w:val="0"/>
          <w:sz w:val="20"/>
          <w:szCs w:val="22"/>
        </w:rPr>
        <w:t xml:space="preserve"> </w:t>
      </w:r>
    </w:p>
    <w:p w:rsidR="00322690" w:rsidRPr="008B14A2" w:rsidRDefault="00322690" w:rsidP="00322690">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22"/>
      <w:r w:rsidRPr="008B14A2">
        <w:rPr>
          <w:rFonts w:ascii="Arial" w:eastAsiaTheme="majorEastAsia" w:hAnsi="Arial" w:cstheme="majorBidi"/>
          <w:b/>
          <w:bCs/>
          <w:caps/>
          <w:sz w:val="26"/>
          <w:szCs w:val="24"/>
        </w:rPr>
        <w:t>commissioner</w:t>
      </w:r>
      <w:r w:rsidR="00E2436B">
        <w:rPr>
          <w:rFonts w:ascii="Arial" w:eastAsiaTheme="majorEastAsia" w:hAnsi="Arial" w:cstheme="majorBidi"/>
          <w:b/>
          <w:bCs/>
          <w:caps/>
          <w:sz w:val="26"/>
          <w:szCs w:val="24"/>
        </w:rPr>
        <w:t>/chairman</w:t>
      </w:r>
      <w:r w:rsidRPr="008B14A2">
        <w:rPr>
          <w:rFonts w:ascii="Arial" w:eastAsiaTheme="majorEastAsia" w:hAnsi="Arial" w:cstheme="majorBidi"/>
          <w:b/>
          <w:bCs/>
          <w:caps/>
          <w:sz w:val="26"/>
          <w:szCs w:val="24"/>
        </w:rPr>
        <w:t>, securities and exchange commission</w:t>
      </w:r>
      <w:bookmarkEnd w:id="1"/>
    </w:p>
    <w:p w:rsidR="00661AE5" w:rsidRPr="00224D1E" w:rsidRDefault="00661AE5" w:rsidP="00661AE5">
      <w:pPr>
        <w:rPr>
          <w:rFonts w:asciiTheme="majorHAnsi" w:hAnsiTheme="majorHAnsi" w:cstheme="majorHAnsi"/>
        </w:rPr>
      </w:pPr>
    </w:p>
    <w:tbl>
      <w:tblPr>
        <w:tblStyle w:val="TableGrid"/>
        <w:tblW w:w="9699" w:type="dxa"/>
        <w:tblInd w:w="108" w:type="dxa"/>
        <w:tblCellMar>
          <w:top w:w="58" w:type="dxa"/>
          <w:left w:w="115" w:type="dxa"/>
          <w:bottom w:w="58" w:type="dxa"/>
          <w:right w:w="115" w:type="dxa"/>
        </w:tblCellMar>
        <w:tblLook w:val="04A0" w:firstRow="1" w:lastRow="0" w:firstColumn="1" w:lastColumn="0" w:noHBand="0" w:noVBand="1"/>
      </w:tblPr>
      <w:tblGrid>
        <w:gridCol w:w="2619"/>
        <w:gridCol w:w="7080"/>
      </w:tblGrid>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46720" w:rsidRPr="00E2436B" w:rsidRDefault="00446720" w:rsidP="0062781F">
            <w:pPr>
              <w:contextualSpacing/>
              <w:jc w:val="center"/>
              <w:rPr>
                <w:rFonts w:asciiTheme="majorHAnsi" w:hAnsiTheme="majorHAnsi" w:cstheme="majorHAnsi"/>
                <w:b/>
              </w:rPr>
            </w:pPr>
            <w:r w:rsidRPr="00E2436B">
              <w:rPr>
                <w:rFonts w:asciiTheme="majorHAnsi" w:hAnsiTheme="majorHAnsi" w:cstheme="majorHAnsi"/>
                <w:b/>
              </w:rPr>
              <w:t>OVERVIEW</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Senate Committee</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E2436B" w:rsidP="0062781F">
            <w:pPr>
              <w:contextualSpacing/>
              <w:rPr>
                <w:rFonts w:asciiTheme="majorHAnsi" w:hAnsiTheme="majorHAnsi" w:cstheme="majorHAnsi"/>
                <w:bCs/>
              </w:rPr>
            </w:pPr>
            <w:r w:rsidRPr="00E2436B">
              <w:rPr>
                <w:rFonts w:asciiTheme="majorHAnsi" w:hAnsiTheme="majorHAnsi" w:cstheme="majorHAnsi"/>
                <w:bCs/>
              </w:rPr>
              <w:t>Banking, Housing</w:t>
            </w:r>
            <w:r w:rsidR="00446720" w:rsidRPr="00E2436B">
              <w:rPr>
                <w:rFonts w:asciiTheme="majorHAnsi" w:hAnsiTheme="majorHAnsi" w:cstheme="majorHAnsi"/>
                <w:bCs/>
              </w:rPr>
              <w:t xml:space="preserve"> &amp; Urban Affairs</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Agency Mission</w:t>
            </w:r>
            <w:r w:rsidRPr="00E2436B">
              <w:rPr>
                <w:rFonts w:asciiTheme="majorHAnsi" w:hAnsiTheme="majorHAnsi" w:cstheme="majorHAnsi"/>
                <w:bCs/>
              </w:rPr>
              <w:t xml:space="preserve"> </w:t>
            </w:r>
          </w:p>
        </w:tc>
        <w:tc>
          <w:tcPr>
            <w:tcW w:w="7080" w:type="dxa"/>
            <w:tcBorders>
              <w:top w:val="single" w:sz="2" w:space="0" w:color="auto"/>
              <w:left w:val="single" w:sz="2" w:space="0" w:color="auto"/>
              <w:bottom w:val="single" w:sz="2" w:space="0" w:color="auto"/>
              <w:right w:val="single" w:sz="2" w:space="0" w:color="auto"/>
            </w:tcBorders>
            <w:shd w:val="clear" w:color="auto" w:fill="auto"/>
          </w:tcPr>
          <w:p w:rsidR="00446720" w:rsidRPr="00E2436B" w:rsidRDefault="00446720" w:rsidP="0062781F">
            <w:pPr>
              <w:contextualSpacing/>
              <w:rPr>
                <w:rFonts w:asciiTheme="majorHAnsi" w:hAnsiTheme="majorHAnsi" w:cstheme="majorHAnsi"/>
                <w:bCs/>
              </w:rPr>
            </w:pPr>
            <w:r w:rsidRPr="00E2436B">
              <w:rPr>
                <w:rFonts w:asciiTheme="majorHAnsi" w:hAnsiTheme="majorHAnsi" w:cstheme="majorHAnsi"/>
                <w:bCs/>
              </w:rPr>
              <w:t>To protect investors; maintain fair, orderly and efficient markets; and facilitate capital formation. The SEC strives to promote a market environment that is worthy of the public's trust.</w:t>
            </w:r>
          </w:p>
        </w:tc>
      </w:tr>
      <w:tr w:rsidR="00446720" w:rsidRPr="00E2436B" w:rsidTr="003B593C">
        <w:trPr>
          <w:trHeight w:val="1422"/>
        </w:trPr>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 xml:space="preserve">Position Overview </w:t>
            </w:r>
          </w:p>
        </w:tc>
        <w:tc>
          <w:tcPr>
            <w:tcW w:w="7080" w:type="dxa"/>
            <w:tcBorders>
              <w:top w:val="single" w:sz="2" w:space="0" w:color="auto"/>
              <w:left w:val="single" w:sz="2" w:space="0" w:color="auto"/>
              <w:bottom w:val="single" w:sz="2" w:space="0" w:color="auto"/>
              <w:right w:val="single" w:sz="2" w:space="0" w:color="auto"/>
            </w:tcBorders>
          </w:tcPr>
          <w:p w:rsidR="005142C1" w:rsidRPr="00E2436B" w:rsidRDefault="00446720" w:rsidP="0062781F">
            <w:pPr>
              <w:contextualSpacing/>
              <w:rPr>
                <w:rFonts w:asciiTheme="majorHAnsi" w:hAnsiTheme="majorHAnsi" w:cstheme="majorHAnsi"/>
                <w:bCs/>
              </w:rPr>
            </w:pPr>
            <w:r w:rsidRPr="00E2436B">
              <w:rPr>
                <w:rFonts w:asciiTheme="majorHAnsi" w:hAnsiTheme="majorHAnsi" w:cstheme="majorHAnsi"/>
                <w:bCs/>
              </w:rPr>
              <w:t xml:space="preserve">The Securities and Exchange Commission (SEC) has five commissioners who are appointed by the president with the advice and consent of the Senate. Their terms last five years and are staggered so that one commissioner's term ends on June 5 of each year. The </w:t>
            </w:r>
            <w:r w:rsidR="00E2436B" w:rsidRPr="00E2436B">
              <w:rPr>
                <w:rFonts w:asciiTheme="majorHAnsi" w:hAnsiTheme="majorHAnsi" w:cstheme="majorHAnsi"/>
                <w:bCs/>
              </w:rPr>
              <w:t xml:space="preserve">chairman and commissioners </w:t>
            </w:r>
            <w:r w:rsidRPr="00E2436B">
              <w:rPr>
                <w:rFonts w:asciiTheme="majorHAnsi" w:hAnsiTheme="majorHAnsi" w:cstheme="majorHAnsi"/>
                <w:bCs/>
              </w:rPr>
              <w:t xml:space="preserve">may continue to serve approximately 18 months after terms expire if they are not replaced before then. </w:t>
            </w:r>
          </w:p>
          <w:p w:rsidR="005142C1" w:rsidRPr="00E2436B" w:rsidRDefault="005142C1" w:rsidP="0062781F">
            <w:pPr>
              <w:contextualSpacing/>
              <w:rPr>
                <w:rFonts w:asciiTheme="majorHAnsi" w:hAnsiTheme="majorHAnsi" w:cstheme="majorHAnsi"/>
                <w:bCs/>
              </w:rPr>
            </w:pPr>
          </w:p>
          <w:p w:rsidR="00446720" w:rsidRPr="00E2436B" w:rsidRDefault="00446720" w:rsidP="00E2436B">
            <w:pPr>
              <w:contextualSpacing/>
              <w:rPr>
                <w:rFonts w:asciiTheme="majorHAnsi" w:hAnsiTheme="majorHAnsi" w:cstheme="majorHAnsi"/>
                <w:bCs/>
              </w:rPr>
            </w:pPr>
            <w:r w:rsidRPr="00E2436B">
              <w:rPr>
                <w:rFonts w:asciiTheme="majorHAnsi" w:hAnsiTheme="majorHAnsi" w:cstheme="majorHAnsi"/>
                <w:bCs/>
              </w:rPr>
              <w:t>The president also designates one of the commissioners as chairman, the SEC's top executive.</w:t>
            </w:r>
            <w:r w:rsidRPr="00E2436B">
              <w:rPr>
                <w:rFonts w:asciiTheme="majorHAnsi" w:eastAsia="Calibri" w:hAnsiTheme="majorHAnsi" w:cstheme="majorHAnsi"/>
                <w:bCs/>
                <w:vertAlign w:val="superscript"/>
              </w:rPr>
              <w:t xml:space="preserve"> </w:t>
            </w:r>
            <w:r w:rsidRPr="00E2436B">
              <w:rPr>
                <w:rFonts w:asciiTheme="majorHAnsi" w:hAnsiTheme="majorHAnsi" w:cstheme="majorHAnsi"/>
                <w:bCs/>
              </w:rPr>
              <w:t xml:space="preserve"> </w:t>
            </w:r>
            <w:r w:rsidR="00E2436B" w:rsidRPr="00E2436B">
              <w:rPr>
                <w:rFonts w:asciiTheme="majorHAnsi" w:hAnsiTheme="majorHAnsi" w:cstheme="majorHAnsi"/>
                <w:bCs/>
              </w:rPr>
              <w:t>Under the Reorganization Plan no.</w:t>
            </w:r>
            <w:r w:rsidR="005142C1" w:rsidRPr="00E2436B">
              <w:rPr>
                <w:rFonts w:asciiTheme="majorHAnsi" w:hAnsiTheme="majorHAnsi" w:cstheme="majorHAnsi"/>
                <w:bCs/>
              </w:rPr>
              <w:t xml:space="preserve">10 of 1950, the chairman is responsible for </w:t>
            </w:r>
            <w:r w:rsidR="005142C1" w:rsidRPr="00E2436B">
              <w:rPr>
                <w:rFonts w:asciiTheme="majorHAnsi" w:hAnsiTheme="majorHAnsi" w:cstheme="majorHAnsi"/>
              </w:rPr>
              <w:t>the executive and administrative functions of the Commission, including functions of the Commission with respect to (1) the appointment and supervision of personnel employed under the Commission, (2) the distribution of business among such personnel and among administrative units of the Commission, and (3) the use and expenditure of funds.</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i/>
              </w:rPr>
            </w:pPr>
            <w:r w:rsidRPr="00E2436B">
              <w:rPr>
                <w:rFonts w:asciiTheme="majorHAnsi" w:hAnsiTheme="majorHAnsi" w:cstheme="majorHAnsi"/>
              </w:rPr>
              <w:t xml:space="preserve">Compensation </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130AA" w:rsidP="0062781F">
            <w:pPr>
              <w:contextualSpacing/>
              <w:rPr>
                <w:rFonts w:asciiTheme="majorHAnsi" w:hAnsiTheme="majorHAnsi" w:cstheme="majorHAnsi"/>
                <w:bCs/>
              </w:rPr>
            </w:pPr>
            <w:r w:rsidRPr="00E2436B">
              <w:rPr>
                <w:rFonts w:asciiTheme="majorHAnsi" w:hAnsiTheme="majorHAnsi" w:cstheme="majorHAnsi"/>
                <w:bCs/>
              </w:rPr>
              <w:t>Chairman: Level III $</w:t>
            </w:r>
            <w:r w:rsidR="00355B0B">
              <w:rPr>
                <w:rFonts w:asciiTheme="majorHAnsi" w:hAnsiTheme="majorHAnsi" w:cstheme="majorHAnsi"/>
                <w:bCs/>
              </w:rPr>
              <w:t>165,300</w:t>
            </w:r>
            <w:r w:rsidR="00446720" w:rsidRPr="00E2436B">
              <w:rPr>
                <w:rFonts w:asciiTheme="majorHAnsi" w:hAnsiTheme="majorHAnsi" w:cstheme="majorHAnsi"/>
                <w:bCs/>
              </w:rPr>
              <w:t xml:space="preserve"> (5 U.S.C. § 5314)</w:t>
            </w:r>
          </w:p>
          <w:p w:rsidR="00446720" w:rsidRPr="00E2436B" w:rsidRDefault="004130AA" w:rsidP="00355B0B">
            <w:pPr>
              <w:contextualSpacing/>
              <w:rPr>
                <w:rFonts w:asciiTheme="majorHAnsi" w:hAnsiTheme="majorHAnsi" w:cstheme="majorHAnsi"/>
                <w:bCs/>
              </w:rPr>
            </w:pPr>
            <w:r w:rsidRPr="00E2436B">
              <w:rPr>
                <w:rFonts w:asciiTheme="majorHAnsi" w:hAnsiTheme="majorHAnsi" w:cstheme="majorHAnsi"/>
                <w:bCs/>
              </w:rPr>
              <w:t>Commissioner: Level IV $</w:t>
            </w:r>
            <w:r w:rsidR="00355B0B">
              <w:rPr>
                <w:rFonts w:asciiTheme="majorHAnsi" w:hAnsiTheme="majorHAnsi" w:cstheme="majorHAnsi"/>
                <w:bCs/>
              </w:rPr>
              <w:t>155,500</w:t>
            </w:r>
            <w:r w:rsidR="00446720" w:rsidRPr="00E2436B">
              <w:rPr>
                <w:rFonts w:asciiTheme="majorHAnsi" w:hAnsiTheme="majorHAnsi" w:cstheme="majorHAnsi"/>
                <w:bCs/>
              </w:rPr>
              <w:t xml:space="preserve"> (5 U.S.C. § 5315)</w:t>
            </w:r>
            <w:r w:rsidR="00E2436B" w:rsidRPr="00E2436B">
              <w:rPr>
                <w:rStyle w:val="EndnoteReference"/>
                <w:rFonts w:asciiTheme="majorHAnsi" w:hAnsiTheme="majorHAnsi" w:cstheme="majorHAnsi"/>
                <w:bCs/>
              </w:rPr>
              <w:endnoteReference w:id="1"/>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Position Reports to</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 xml:space="preserve">The SEC is an independent regulatory and enforcement agency; however, historically the </w:t>
            </w:r>
            <w:r w:rsidR="00E2436B" w:rsidRPr="00E2436B">
              <w:rPr>
                <w:rFonts w:asciiTheme="majorHAnsi" w:hAnsiTheme="majorHAnsi" w:cstheme="majorHAnsi"/>
              </w:rPr>
              <w:t xml:space="preserve">chairman </w:t>
            </w:r>
            <w:r w:rsidRPr="00E2436B">
              <w:rPr>
                <w:rFonts w:asciiTheme="majorHAnsi" w:hAnsiTheme="majorHAnsi" w:cstheme="majorHAnsi"/>
              </w:rPr>
              <w:t xml:space="preserve">has worked closely with various White House </w:t>
            </w:r>
            <w:r w:rsidR="00F13A8C" w:rsidRPr="00E2436B">
              <w:rPr>
                <w:rFonts w:asciiTheme="majorHAnsi" w:hAnsiTheme="majorHAnsi" w:cstheme="majorHAnsi"/>
              </w:rPr>
              <w:t>officials</w:t>
            </w:r>
            <w:r w:rsidRPr="00E2436B">
              <w:rPr>
                <w:rFonts w:asciiTheme="majorHAnsi" w:hAnsiTheme="majorHAnsi" w:cstheme="majorHAnsi"/>
              </w:rPr>
              <w:t>.</w:t>
            </w: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46720" w:rsidRPr="00E2436B" w:rsidRDefault="00446720" w:rsidP="0062781F">
            <w:pPr>
              <w:contextualSpacing/>
              <w:jc w:val="center"/>
              <w:rPr>
                <w:rFonts w:asciiTheme="majorHAnsi" w:hAnsiTheme="majorHAnsi" w:cstheme="majorHAnsi"/>
                <w:b/>
              </w:rPr>
            </w:pPr>
            <w:r w:rsidRPr="00E2436B">
              <w:rPr>
                <w:rFonts w:asciiTheme="majorHAnsi" w:hAnsiTheme="majorHAnsi" w:cstheme="majorHAnsi"/>
                <w:b/>
              </w:rPr>
              <w:t>RESPONSIBILITIES</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 xml:space="preserve">Management Scope </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46720" w:rsidP="0062781F">
            <w:pPr>
              <w:ind w:left="64"/>
              <w:contextualSpacing/>
              <w:rPr>
                <w:rFonts w:asciiTheme="majorHAnsi" w:hAnsiTheme="majorHAnsi" w:cstheme="majorHAnsi"/>
                <w:bCs/>
              </w:rPr>
            </w:pPr>
            <w:r w:rsidRPr="00E2436B">
              <w:rPr>
                <w:rFonts w:asciiTheme="majorHAnsi" w:hAnsiTheme="majorHAnsi" w:cstheme="majorHAnsi"/>
                <w:bCs/>
              </w:rPr>
              <w:t>The SEC has a budget of $1.</w:t>
            </w:r>
            <w:r w:rsidR="00F13A8C" w:rsidRPr="00E2436B">
              <w:rPr>
                <w:rFonts w:asciiTheme="majorHAnsi" w:hAnsiTheme="majorHAnsi" w:cstheme="majorHAnsi"/>
                <w:bCs/>
              </w:rPr>
              <w:t>9</w:t>
            </w:r>
            <w:r w:rsidRPr="00E2436B">
              <w:rPr>
                <w:rFonts w:asciiTheme="majorHAnsi" w:hAnsiTheme="majorHAnsi" w:cstheme="majorHAnsi"/>
                <w:bCs/>
              </w:rPr>
              <w:t xml:space="preserve"> billion in support of 4,</w:t>
            </w:r>
            <w:r w:rsidR="00E2436B" w:rsidRPr="00E2436B">
              <w:rPr>
                <w:rFonts w:asciiTheme="majorHAnsi" w:hAnsiTheme="majorHAnsi" w:cstheme="majorHAnsi"/>
                <w:bCs/>
              </w:rPr>
              <w:t xml:space="preserve">554 full-time-equivalents </w:t>
            </w:r>
            <w:r w:rsidRPr="00E2436B">
              <w:rPr>
                <w:rFonts w:asciiTheme="majorHAnsi" w:hAnsiTheme="majorHAnsi" w:cstheme="majorHAnsi"/>
                <w:bCs/>
              </w:rPr>
              <w:t>to support the agency’s mission. Under the current structure, the chairman has more than 20 direct reports and is responsible for setting the budget and managing the leadership agenda of the organization.</w:t>
            </w:r>
          </w:p>
          <w:p w:rsidR="00446720" w:rsidRPr="00E2436B" w:rsidRDefault="00446720" w:rsidP="0062781F">
            <w:pPr>
              <w:ind w:left="64"/>
              <w:contextualSpacing/>
              <w:rPr>
                <w:rFonts w:asciiTheme="majorHAnsi" w:hAnsiTheme="majorHAnsi" w:cstheme="majorHAnsi"/>
                <w:bCs/>
              </w:rPr>
            </w:pPr>
          </w:p>
          <w:p w:rsidR="00446720" w:rsidRPr="00E2436B" w:rsidRDefault="00446720" w:rsidP="0062781F">
            <w:pPr>
              <w:ind w:left="64"/>
              <w:contextualSpacing/>
              <w:rPr>
                <w:rFonts w:asciiTheme="majorHAnsi" w:hAnsiTheme="majorHAnsi" w:cstheme="majorHAnsi"/>
                <w:bCs/>
              </w:rPr>
            </w:pPr>
            <w:r w:rsidRPr="00E2436B">
              <w:rPr>
                <w:rFonts w:asciiTheme="majorHAnsi" w:hAnsiTheme="majorHAnsi" w:cstheme="majorHAnsi"/>
                <w:bCs/>
              </w:rPr>
              <w:t xml:space="preserve">The SEC’s headquarters are in Washington, D.C., and the agency has 11 regional offices throughout the country. The regional offices are responsible for investigating and litigating potential violations of the securities laws. The offices also have examination staff, who inspect regulated entities such as investment advisors, investment companies and broker-dealers. </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lastRenderedPageBreak/>
              <w:t xml:space="preserve">Primary Responsibilities </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Enforces federal securities laws and the regulation of the securities industry</w:t>
            </w:r>
          </w:p>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Sets the agency’s enforcement policy</w:t>
            </w:r>
          </w:p>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 xml:space="preserve">Shapes SEC action in other important divisions and offices of the agency including: </w:t>
            </w:r>
          </w:p>
          <w:p w:rsidR="00446720" w:rsidRPr="00E2436B" w:rsidRDefault="000D553E"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 xml:space="preserve">Division of </w:t>
            </w:r>
            <w:r w:rsidR="00446720" w:rsidRPr="00E2436B">
              <w:rPr>
                <w:rFonts w:asciiTheme="majorHAnsi" w:eastAsia="Calibri" w:hAnsiTheme="majorHAnsi" w:cstheme="majorHAnsi"/>
              </w:rPr>
              <w:t>Corporation Finance  (disclosure filings)</w:t>
            </w:r>
          </w:p>
          <w:p w:rsidR="000D553E" w:rsidRPr="00E2436B" w:rsidRDefault="000D553E"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Division of Enforcement</w:t>
            </w:r>
            <w:r w:rsidR="00266D6E" w:rsidRPr="00E2436B">
              <w:rPr>
                <w:rFonts w:asciiTheme="majorHAnsi" w:eastAsia="Calibri" w:hAnsiTheme="majorHAnsi" w:cstheme="majorHAnsi"/>
              </w:rPr>
              <w:t xml:space="preserve"> (</w:t>
            </w:r>
            <w:r w:rsidR="00266D6E" w:rsidRPr="00E2436B">
              <w:rPr>
                <w:rFonts w:asciiTheme="majorHAnsi" w:hAnsiTheme="majorHAnsi" w:cstheme="majorHAnsi"/>
                <w:color w:val="211D1E"/>
              </w:rPr>
              <w:t>investi</w:t>
            </w:r>
            <w:r w:rsidR="00E2436B" w:rsidRPr="00E2436B">
              <w:rPr>
                <w:rFonts w:asciiTheme="majorHAnsi" w:hAnsiTheme="majorHAnsi" w:cstheme="majorHAnsi"/>
                <w:color w:val="211D1E"/>
              </w:rPr>
              <w:t>gates and brings civil charges)</w:t>
            </w:r>
          </w:p>
          <w:p w:rsidR="00446720" w:rsidRPr="00E2436B" w:rsidRDefault="00446720"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Division of Trading and Markets (oversees exchanges, broker/dealers)</w:t>
            </w:r>
          </w:p>
          <w:p w:rsidR="00446720" w:rsidRPr="00E2436B" w:rsidRDefault="00446720"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Division of Investment Management (oversees asset management industry)</w:t>
            </w:r>
          </w:p>
          <w:p w:rsidR="00446720" w:rsidRPr="00E2436B" w:rsidRDefault="00446720"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 xml:space="preserve">Division of </w:t>
            </w:r>
            <w:r w:rsidR="000D553E" w:rsidRPr="00E2436B">
              <w:rPr>
                <w:rFonts w:asciiTheme="majorHAnsi" w:eastAsia="Calibri" w:hAnsiTheme="majorHAnsi" w:cstheme="majorHAnsi"/>
              </w:rPr>
              <w:t>Economic and Risk Analysis</w:t>
            </w:r>
            <w:r w:rsidR="00266D6E" w:rsidRPr="00E2436B">
              <w:rPr>
                <w:rFonts w:asciiTheme="majorHAnsi" w:eastAsia="Calibri" w:hAnsiTheme="majorHAnsi" w:cstheme="majorHAnsi"/>
              </w:rPr>
              <w:t xml:space="preserve"> (</w:t>
            </w:r>
            <w:r w:rsidR="00266D6E" w:rsidRPr="00E2436B">
              <w:rPr>
                <w:rFonts w:asciiTheme="majorHAnsi" w:hAnsiTheme="majorHAnsi" w:cstheme="majorHAnsi"/>
                <w:color w:val="211D1E"/>
              </w:rPr>
              <w:t>provides economic analyses as part of the Commission’s rulemaking process)</w:t>
            </w:r>
            <w:r w:rsidRPr="00E2436B">
              <w:rPr>
                <w:rFonts w:asciiTheme="majorHAnsi" w:eastAsia="Calibri" w:hAnsiTheme="majorHAnsi" w:cstheme="majorHAnsi"/>
              </w:rPr>
              <w:t xml:space="preserve"> </w:t>
            </w:r>
          </w:p>
          <w:p w:rsidR="00446720" w:rsidRPr="00E2436B" w:rsidRDefault="00446720" w:rsidP="00446720">
            <w:pPr>
              <w:numPr>
                <w:ilvl w:val="1"/>
                <w:numId w:val="43"/>
              </w:numPr>
              <w:ind w:left="792"/>
              <w:contextualSpacing/>
              <w:rPr>
                <w:rFonts w:asciiTheme="majorHAnsi" w:eastAsia="Calibri" w:hAnsiTheme="majorHAnsi" w:cstheme="majorHAnsi"/>
              </w:rPr>
            </w:pPr>
            <w:r w:rsidRPr="00E2436B">
              <w:rPr>
                <w:rFonts w:asciiTheme="majorHAnsi" w:eastAsia="Calibri" w:hAnsiTheme="majorHAnsi" w:cstheme="majorHAnsi"/>
              </w:rPr>
              <w:t>Office of Compliance Inspections and Examinations</w:t>
            </w:r>
            <w:r w:rsidR="00266D6E" w:rsidRPr="00E2436B">
              <w:rPr>
                <w:rFonts w:asciiTheme="majorHAnsi" w:eastAsia="Calibri" w:hAnsiTheme="majorHAnsi" w:cstheme="majorHAnsi"/>
              </w:rPr>
              <w:t xml:space="preserve"> (</w:t>
            </w:r>
            <w:r w:rsidR="00266D6E" w:rsidRPr="00E2436B">
              <w:rPr>
                <w:rFonts w:asciiTheme="majorHAnsi" w:hAnsiTheme="majorHAnsi" w:cstheme="majorHAnsi"/>
                <w:color w:val="211D1E"/>
              </w:rPr>
              <w:t>conducts examinations of registrants)</w:t>
            </w:r>
          </w:p>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Develops and manages a transparent and accountable regulatory process that imposes rigorous, consistent economic analysis to determine the economic impacts of proposed rulemakings, including effects on growth and net job creation</w:t>
            </w:r>
          </w:p>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Coordinates with international regulators as a member of the International Organization of Securities Commissions, and provides training assistance</w:t>
            </w:r>
          </w:p>
          <w:p w:rsidR="00446720" w:rsidRPr="00E2436B" w:rsidRDefault="00446720" w:rsidP="00446720">
            <w:pPr>
              <w:numPr>
                <w:ilvl w:val="0"/>
                <w:numId w:val="43"/>
              </w:numPr>
              <w:ind w:left="440"/>
              <w:contextualSpacing/>
              <w:rPr>
                <w:rFonts w:asciiTheme="majorHAnsi" w:eastAsia="Calibri" w:hAnsiTheme="majorHAnsi" w:cstheme="majorHAnsi"/>
              </w:rPr>
            </w:pPr>
            <w:r w:rsidRPr="00E2436B">
              <w:rPr>
                <w:rFonts w:asciiTheme="majorHAnsi" w:eastAsia="Calibri" w:hAnsiTheme="majorHAnsi" w:cstheme="majorHAnsi"/>
              </w:rPr>
              <w:t>Serves as a member of the Financial Stability Oversight Council created by Dodd-Frank</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Strategic Goals and Priorities</w:t>
            </w:r>
          </w:p>
        </w:tc>
        <w:tc>
          <w:tcPr>
            <w:tcW w:w="7080" w:type="dxa"/>
            <w:tcBorders>
              <w:top w:val="single" w:sz="2" w:space="0" w:color="auto"/>
              <w:left w:val="single" w:sz="2" w:space="0" w:color="auto"/>
              <w:bottom w:val="single" w:sz="2" w:space="0" w:color="auto"/>
              <w:right w:val="single" w:sz="2" w:space="0" w:color="auto"/>
            </w:tcBorders>
            <w:vAlign w:val="center"/>
          </w:tcPr>
          <w:p w:rsidR="00446720" w:rsidRPr="00E2436B" w:rsidRDefault="00446720" w:rsidP="0062781F">
            <w:pPr>
              <w:ind w:left="72"/>
              <w:contextualSpacing/>
              <w:jc w:val="center"/>
              <w:rPr>
                <w:rFonts w:asciiTheme="majorHAnsi" w:hAnsiTheme="majorHAnsi" w:cstheme="majorHAnsi"/>
              </w:rPr>
            </w:pPr>
          </w:p>
          <w:p w:rsidR="00446720" w:rsidRPr="00E2436B" w:rsidRDefault="00446720" w:rsidP="0062781F">
            <w:pPr>
              <w:ind w:left="72"/>
              <w:contextualSpacing/>
              <w:jc w:val="center"/>
              <w:rPr>
                <w:rFonts w:asciiTheme="majorHAnsi" w:hAnsiTheme="majorHAnsi" w:cstheme="majorHAnsi"/>
              </w:rPr>
            </w:pPr>
          </w:p>
          <w:p w:rsidR="00446720" w:rsidRPr="00E2436B" w:rsidRDefault="00446720" w:rsidP="0062781F">
            <w:pPr>
              <w:ind w:left="72"/>
              <w:contextualSpacing/>
              <w:jc w:val="center"/>
              <w:rPr>
                <w:rFonts w:asciiTheme="majorHAnsi" w:hAnsiTheme="majorHAnsi" w:cstheme="majorHAnsi"/>
              </w:rPr>
            </w:pPr>
            <w:r w:rsidRPr="00E2436B">
              <w:rPr>
                <w:rFonts w:asciiTheme="majorHAnsi" w:hAnsiTheme="majorHAnsi" w:cstheme="majorHAnsi"/>
              </w:rPr>
              <w:t xml:space="preserve">[Depends on the policy priorities of the administration] </w:t>
            </w:r>
          </w:p>
          <w:p w:rsidR="00446720" w:rsidRPr="00E2436B" w:rsidRDefault="00446720" w:rsidP="0062781F">
            <w:pPr>
              <w:contextualSpacing/>
              <w:rPr>
                <w:rFonts w:asciiTheme="majorHAnsi" w:hAnsiTheme="majorHAnsi" w:cstheme="majorHAnsi"/>
              </w:rPr>
            </w:pPr>
          </w:p>
          <w:p w:rsidR="00446720" w:rsidRPr="00E2436B" w:rsidRDefault="00446720" w:rsidP="0062781F">
            <w:pPr>
              <w:contextualSpacing/>
              <w:rPr>
                <w:rFonts w:asciiTheme="majorHAnsi" w:hAnsiTheme="majorHAnsi" w:cstheme="majorHAnsi"/>
              </w:rPr>
            </w:pP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46720" w:rsidRPr="00E2436B" w:rsidRDefault="00446720" w:rsidP="0062781F">
            <w:pPr>
              <w:contextualSpacing/>
              <w:jc w:val="center"/>
              <w:rPr>
                <w:rFonts w:asciiTheme="majorHAnsi" w:hAnsiTheme="majorHAnsi" w:cstheme="majorHAnsi"/>
                <w:b/>
              </w:rPr>
            </w:pPr>
            <w:r w:rsidRPr="00E2436B">
              <w:rPr>
                <w:rFonts w:asciiTheme="majorHAnsi" w:hAnsiTheme="majorHAnsi" w:cstheme="majorHAnsi"/>
                <w:b/>
              </w:rPr>
              <w:t>REQUIREMENTS AND COMPETENCIES</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Requirements</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46720" w:rsidP="00446720">
            <w:pPr>
              <w:numPr>
                <w:ilvl w:val="0"/>
                <w:numId w:val="46"/>
              </w:numPr>
              <w:contextualSpacing/>
              <w:rPr>
                <w:rFonts w:asciiTheme="majorHAnsi" w:eastAsia="Calibri" w:hAnsiTheme="majorHAnsi" w:cstheme="majorHAnsi"/>
                <w:bCs/>
              </w:rPr>
            </w:pPr>
            <w:r w:rsidRPr="00E2436B">
              <w:rPr>
                <w:rFonts w:asciiTheme="majorHAnsi" w:eastAsia="Calibri" w:hAnsiTheme="majorHAnsi" w:cstheme="majorHAnsi"/>
                <w:bCs/>
              </w:rPr>
              <w:t xml:space="preserve">No more than three </w:t>
            </w:r>
            <w:r w:rsidR="00E2436B" w:rsidRPr="00E2436B">
              <w:rPr>
                <w:rFonts w:asciiTheme="majorHAnsi" w:eastAsia="Calibri" w:hAnsiTheme="majorHAnsi" w:cstheme="majorHAnsi"/>
                <w:bCs/>
              </w:rPr>
              <w:t xml:space="preserve">commissioners </w:t>
            </w:r>
            <w:r w:rsidRPr="00E2436B">
              <w:rPr>
                <w:rFonts w:asciiTheme="majorHAnsi" w:eastAsia="Calibri" w:hAnsiTheme="majorHAnsi" w:cstheme="majorHAnsi"/>
                <w:bCs/>
              </w:rPr>
              <w:t>belonging to the same political party</w:t>
            </w:r>
          </w:p>
          <w:p w:rsidR="00446720" w:rsidRPr="00E2436B" w:rsidRDefault="00446720" w:rsidP="00446720">
            <w:pPr>
              <w:numPr>
                <w:ilvl w:val="0"/>
                <w:numId w:val="45"/>
              </w:numPr>
              <w:contextualSpacing/>
              <w:rPr>
                <w:rFonts w:asciiTheme="majorHAnsi" w:eastAsia="Calibri" w:hAnsiTheme="majorHAnsi" w:cstheme="majorHAnsi"/>
                <w:bCs/>
              </w:rPr>
            </w:pPr>
            <w:r w:rsidRPr="00E2436B">
              <w:rPr>
                <w:rFonts w:asciiTheme="majorHAnsi" w:eastAsia="Calibri" w:hAnsiTheme="majorHAnsi" w:cstheme="majorHAnsi"/>
                <w:bCs/>
              </w:rPr>
              <w:t>Broad experience, preferably from industry, with regard to financial regulation and markets</w:t>
            </w:r>
          </w:p>
          <w:p w:rsidR="00446720" w:rsidRPr="00E2436B" w:rsidRDefault="00446720" w:rsidP="00E2436B">
            <w:pPr>
              <w:numPr>
                <w:ilvl w:val="0"/>
                <w:numId w:val="45"/>
              </w:numPr>
              <w:contextualSpacing/>
              <w:rPr>
                <w:rFonts w:asciiTheme="majorHAnsi" w:eastAsia="Calibri" w:hAnsiTheme="majorHAnsi" w:cstheme="majorHAnsi"/>
                <w:bCs/>
              </w:rPr>
            </w:pPr>
            <w:r w:rsidRPr="00E2436B">
              <w:rPr>
                <w:rFonts w:asciiTheme="majorHAnsi" w:eastAsia="Calibri" w:hAnsiTheme="majorHAnsi" w:cstheme="majorHAnsi"/>
                <w:bCs/>
              </w:rPr>
              <w:t>Management experience, especially in a public-sector setting</w:t>
            </w:r>
          </w:p>
        </w:tc>
      </w:tr>
      <w:tr w:rsidR="00446720" w:rsidRPr="00E2436B" w:rsidTr="003B593C">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Competencies</w:t>
            </w:r>
          </w:p>
        </w:tc>
        <w:tc>
          <w:tcPr>
            <w:tcW w:w="7080" w:type="dxa"/>
            <w:tcBorders>
              <w:top w:val="single" w:sz="2" w:space="0" w:color="auto"/>
              <w:left w:val="single" w:sz="2" w:space="0" w:color="auto"/>
              <w:bottom w:val="single" w:sz="2" w:space="0" w:color="auto"/>
              <w:right w:val="single" w:sz="2" w:space="0" w:color="auto"/>
            </w:tcBorders>
          </w:tcPr>
          <w:p w:rsidR="00446720" w:rsidRPr="00E2436B" w:rsidRDefault="00446720" w:rsidP="00446720">
            <w:pPr>
              <w:numPr>
                <w:ilvl w:val="0"/>
                <w:numId w:val="44"/>
              </w:numPr>
              <w:ind w:left="440"/>
              <w:contextualSpacing/>
              <w:rPr>
                <w:rFonts w:asciiTheme="majorHAnsi" w:eastAsia="Calibri" w:hAnsiTheme="majorHAnsi" w:cstheme="majorHAnsi"/>
              </w:rPr>
            </w:pPr>
            <w:r w:rsidRPr="00E2436B">
              <w:rPr>
                <w:rFonts w:asciiTheme="majorHAnsi" w:eastAsia="Calibri" w:hAnsiTheme="majorHAnsi" w:cstheme="majorHAnsi"/>
              </w:rPr>
              <w:t>Strategic Orientation: demonstrates complex thinking abilities, incorporating both analytical and conceptual abilities to manage and develop plans and strategies; able to set the agenda for the organization</w:t>
            </w:r>
          </w:p>
          <w:p w:rsidR="00446720" w:rsidRPr="00E2436B" w:rsidRDefault="00446720" w:rsidP="00446720">
            <w:pPr>
              <w:numPr>
                <w:ilvl w:val="0"/>
                <w:numId w:val="44"/>
              </w:numPr>
              <w:ind w:left="440"/>
              <w:contextualSpacing/>
              <w:rPr>
                <w:rFonts w:asciiTheme="majorHAnsi" w:eastAsia="Calibri" w:hAnsiTheme="majorHAnsi" w:cstheme="majorHAnsi"/>
              </w:rPr>
            </w:pPr>
            <w:r w:rsidRPr="00E2436B">
              <w:rPr>
                <w:rFonts w:asciiTheme="majorHAnsi" w:eastAsia="Calibri" w:hAnsiTheme="majorHAnsi" w:cstheme="majorHAnsi"/>
              </w:rPr>
              <w:t>Results Orientation: drive for improvement of results demonstrated by a track record of substantially enhancing performance or organizations</w:t>
            </w:r>
          </w:p>
          <w:p w:rsidR="00510DD6" w:rsidRPr="00E2436B" w:rsidRDefault="00510DD6" w:rsidP="00446720">
            <w:pPr>
              <w:numPr>
                <w:ilvl w:val="0"/>
                <w:numId w:val="44"/>
              </w:numPr>
              <w:ind w:left="440"/>
              <w:contextualSpacing/>
              <w:rPr>
                <w:rFonts w:asciiTheme="majorHAnsi" w:eastAsia="Calibri" w:hAnsiTheme="majorHAnsi" w:cstheme="majorHAnsi"/>
              </w:rPr>
            </w:pPr>
            <w:r w:rsidRPr="00E2436B">
              <w:rPr>
                <w:rFonts w:asciiTheme="majorHAnsi" w:eastAsia="Calibri" w:hAnsiTheme="majorHAnsi" w:cstheme="majorHAnsi"/>
              </w:rPr>
              <w:t>Leading people and managing the workforce to meet the organization's mission and goals; including addressing conflict management, leveraging diversity, teambuilding, and human capital man</w:t>
            </w:r>
            <w:r w:rsidR="00E2436B" w:rsidRPr="00E2436B">
              <w:rPr>
                <w:rFonts w:asciiTheme="majorHAnsi" w:eastAsia="Calibri" w:hAnsiTheme="majorHAnsi" w:cstheme="majorHAnsi"/>
              </w:rPr>
              <w:t>agement</w:t>
            </w:r>
          </w:p>
          <w:p w:rsidR="00E2436B" w:rsidRPr="00E2436B" w:rsidRDefault="00446720" w:rsidP="00E2436B">
            <w:pPr>
              <w:numPr>
                <w:ilvl w:val="0"/>
                <w:numId w:val="45"/>
              </w:numPr>
              <w:contextualSpacing/>
              <w:rPr>
                <w:rFonts w:asciiTheme="majorHAnsi" w:eastAsia="Calibri" w:hAnsiTheme="majorHAnsi" w:cstheme="majorHAnsi"/>
                <w:bCs/>
              </w:rPr>
            </w:pPr>
            <w:r w:rsidRPr="00E2436B">
              <w:rPr>
                <w:rFonts w:asciiTheme="majorHAnsi" w:eastAsia="Calibri" w:hAnsiTheme="majorHAnsi" w:cstheme="majorHAnsi"/>
              </w:rPr>
              <w:lastRenderedPageBreak/>
              <w:t>Collaboration &amp; Influencing: works effectively with peers, partners and others wh</w:t>
            </w:r>
            <w:r w:rsidR="00E2436B" w:rsidRPr="00E2436B">
              <w:rPr>
                <w:rFonts w:asciiTheme="majorHAnsi" w:eastAsia="Calibri" w:hAnsiTheme="majorHAnsi" w:cstheme="majorHAnsi"/>
              </w:rPr>
              <w:t>o are not in the line of command</w:t>
            </w:r>
          </w:p>
          <w:p w:rsidR="00E2436B" w:rsidRPr="00E2436B" w:rsidRDefault="00E2436B" w:rsidP="00E2436B">
            <w:pPr>
              <w:numPr>
                <w:ilvl w:val="0"/>
                <w:numId w:val="45"/>
              </w:numPr>
              <w:contextualSpacing/>
              <w:rPr>
                <w:rFonts w:asciiTheme="majorHAnsi" w:eastAsia="Calibri" w:hAnsiTheme="majorHAnsi" w:cstheme="majorHAnsi"/>
                <w:bCs/>
              </w:rPr>
            </w:pPr>
            <w:r w:rsidRPr="00E2436B">
              <w:rPr>
                <w:rFonts w:asciiTheme="majorHAnsi" w:eastAsia="Calibri" w:hAnsiTheme="majorHAnsi" w:cstheme="majorHAnsi"/>
                <w:bCs/>
              </w:rPr>
              <w:t>Sound political instincts and negotiation and interpersonal skills to attain support among a majority of the commissioners as well as manage relationships on Capitol Hill</w:t>
            </w:r>
          </w:p>
          <w:p w:rsidR="00446720" w:rsidRPr="00E2436B" w:rsidRDefault="00E2436B" w:rsidP="00E2436B">
            <w:pPr>
              <w:numPr>
                <w:ilvl w:val="0"/>
                <w:numId w:val="44"/>
              </w:numPr>
              <w:ind w:left="440"/>
              <w:contextualSpacing/>
              <w:rPr>
                <w:rFonts w:asciiTheme="majorHAnsi" w:eastAsia="Calibri" w:hAnsiTheme="majorHAnsi" w:cstheme="majorHAnsi"/>
                <w:bCs/>
                <w:i/>
              </w:rPr>
            </w:pPr>
            <w:r w:rsidRPr="00E2436B">
              <w:rPr>
                <w:rFonts w:asciiTheme="majorHAnsi" w:eastAsia="Calibri" w:hAnsiTheme="majorHAnsi" w:cstheme="majorHAnsi"/>
                <w:bCs/>
              </w:rPr>
              <w:t>Fortitude to deal with significant and consistent pressure from interest groups, including unions (generally through pension funds), investor advocates, the media, Congress and current and former SEC staff</w:t>
            </w: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446720" w:rsidRPr="00E2436B" w:rsidRDefault="00446720" w:rsidP="0062781F">
            <w:pPr>
              <w:contextualSpacing/>
              <w:jc w:val="center"/>
              <w:rPr>
                <w:rFonts w:asciiTheme="majorHAnsi" w:hAnsiTheme="majorHAnsi" w:cstheme="majorHAnsi"/>
                <w:b/>
              </w:rPr>
            </w:pPr>
            <w:r w:rsidRPr="00E2436B">
              <w:rPr>
                <w:rFonts w:asciiTheme="majorHAnsi" w:hAnsiTheme="majorHAnsi" w:cstheme="majorHAnsi"/>
                <w:b/>
              </w:rPr>
              <w:lastRenderedPageBreak/>
              <w:t>PAST APPOINTEES</w:t>
            </w:r>
          </w:p>
        </w:tc>
      </w:tr>
      <w:tr w:rsidR="000D553E" w:rsidRPr="00E2436B" w:rsidTr="003B593C">
        <w:tc>
          <w:tcPr>
            <w:tcW w:w="9699" w:type="dxa"/>
            <w:gridSpan w:val="2"/>
            <w:tcBorders>
              <w:top w:val="single" w:sz="2" w:space="0" w:color="auto"/>
              <w:left w:val="single" w:sz="2" w:space="0" w:color="auto"/>
              <w:bottom w:val="single" w:sz="2" w:space="0" w:color="auto"/>
              <w:right w:val="single" w:sz="2" w:space="0" w:color="auto"/>
            </w:tcBorders>
          </w:tcPr>
          <w:p w:rsidR="000D553E" w:rsidRPr="00E2436B" w:rsidRDefault="000D553E" w:rsidP="0062781F">
            <w:pPr>
              <w:rPr>
                <w:rFonts w:asciiTheme="majorHAnsi" w:hAnsiTheme="majorHAnsi" w:cstheme="majorHAnsi"/>
              </w:rPr>
            </w:pPr>
            <w:r w:rsidRPr="00E2436B">
              <w:rPr>
                <w:rFonts w:asciiTheme="majorHAnsi" w:hAnsiTheme="majorHAnsi" w:cstheme="majorHAnsi"/>
              </w:rPr>
              <w:t>Mary Jo White (2013</w:t>
            </w:r>
            <w:r w:rsidR="00E2436B" w:rsidRPr="00E2436B">
              <w:rPr>
                <w:rFonts w:asciiTheme="majorHAnsi" w:hAnsiTheme="majorHAnsi" w:cstheme="majorHAnsi"/>
              </w:rPr>
              <w:t xml:space="preserve"> – </w:t>
            </w:r>
            <w:r w:rsidRPr="00E2436B">
              <w:rPr>
                <w:rFonts w:asciiTheme="majorHAnsi" w:hAnsiTheme="majorHAnsi" w:cstheme="majorHAnsi"/>
              </w:rPr>
              <w:t>2017): C</w:t>
            </w:r>
            <w:r w:rsidRPr="00E2436B">
              <w:rPr>
                <w:rFonts w:asciiTheme="majorHAnsi" w:hAnsiTheme="majorHAnsi" w:cstheme="majorHAnsi"/>
                <w:lang w:val="en"/>
              </w:rPr>
              <w:t xml:space="preserve">hair of the Litigation Department at </w:t>
            </w:r>
            <w:proofErr w:type="spellStart"/>
            <w:r w:rsidRPr="00E2436B">
              <w:rPr>
                <w:rFonts w:asciiTheme="majorHAnsi" w:hAnsiTheme="majorHAnsi" w:cstheme="majorHAnsi"/>
                <w:lang w:val="en"/>
              </w:rPr>
              <w:t>Debevoise</w:t>
            </w:r>
            <w:proofErr w:type="spellEnd"/>
            <w:r w:rsidRPr="00E2436B">
              <w:rPr>
                <w:rFonts w:asciiTheme="majorHAnsi" w:hAnsiTheme="majorHAnsi" w:cstheme="majorHAnsi"/>
                <w:lang w:val="en"/>
              </w:rPr>
              <w:t xml:space="preserve"> &amp; Plimpton</w:t>
            </w: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 xml:space="preserve">Mary L. Schapiro (2009 – 2012): EO of the Financial Industry Regulatory Authority (FINRA); Chairman and CEO of the National Association of Securities Dealers, which was renamed FINRA  </w:t>
            </w: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Christopher Cox (2005 – 2009): Representative for California’s 48</w:t>
            </w:r>
            <w:r w:rsidRPr="00E2436B">
              <w:rPr>
                <w:rFonts w:asciiTheme="majorHAnsi" w:hAnsiTheme="majorHAnsi" w:cstheme="majorHAnsi"/>
                <w:vertAlign w:val="superscript"/>
              </w:rPr>
              <w:t>th</w:t>
            </w:r>
            <w:r w:rsidRPr="00E2436B">
              <w:rPr>
                <w:rFonts w:asciiTheme="majorHAnsi" w:hAnsiTheme="majorHAnsi" w:cstheme="majorHAnsi"/>
              </w:rPr>
              <w:t xml:space="preserve"> District in the House of Representatives; Senior Associate Counsel in the White House of President Ronald Reagan </w:t>
            </w:r>
          </w:p>
        </w:tc>
      </w:tr>
      <w:tr w:rsidR="00446720" w:rsidRPr="00E2436B" w:rsidTr="003B593C">
        <w:tc>
          <w:tcPr>
            <w:tcW w:w="9699" w:type="dxa"/>
            <w:gridSpan w:val="2"/>
            <w:tcBorders>
              <w:top w:val="single" w:sz="2" w:space="0" w:color="auto"/>
              <w:left w:val="single" w:sz="2" w:space="0" w:color="auto"/>
              <w:bottom w:val="single" w:sz="2" w:space="0" w:color="auto"/>
              <w:right w:val="single" w:sz="2" w:space="0" w:color="auto"/>
            </w:tcBorders>
          </w:tcPr>
          <w:p w:rsidR="00446720" w:rsidRPr="00E2436B" w:rsidRDefault="00446720" w:rsidP="0062781F">
            <w:pPr>
              <w:contextualSpacing/>
              <w:rPr>
                <w:rFonts w:asciiTheme="majorHAnsi" w:hAnsiTheme="majorHAnsi" w:cstheme="majorHAnsi"/>
              </w:rPr>
            </w:pPr>
            <w:r w:rsidRPr="00E2436B">
              <w:rPr>
                <w:rFonts w:asciiTheme="majorHAnsi" w:hAnsiTheme="majorHAnsi" w:cstheme="majorHAnsi"/>
              </w:rPr>
              <w:t xml:space="preserve">William H. Donaldson (2003 – 2005): Chairman, President, and CEO of Aetna, </w:t>
            </w:r>
            <w:proofErr w:type="spellStart"/>
            <w:r w:rsidRPr="00E2436B">
              <w:rPr>
                <w:rFonts w:asciiTheme="majorHAnsi" w:hAnsiTheme="majorHAnsi" w:cstheme="majorHAnsi"/>
              </w:rPr>
              <w:t>Inc</w:t>
            </w:r>
            <w:proofErr w:type="spellEnd"/>
            <w:r w:rsidRPr="00E2436B">
              <w:rPr>
                <w:rFonts w:asciiTheme="majorHAnsi" w:hAnsiTheme="majorHAnsi" w:cstheme="majorHAnsi"/>
              </w:rPr>
              <w:t>; Chairman and Chief Executive of the New York Stock Exchange</w:t>
            </w:r>
          </w:p>
        </w:tc>
      </w:tr>
      <w:bookmarkEnd w:id="0"/>
    </w:tbl>
    <w:p w:rsidR="007B7AEC" w:rsidRPr="00224D1E" w:rsidRDefault="007B7AEC">
      <w:pPr>
        <w:rPr>
          <w:rFonts w:asciiTheme="majorHAnsi" w:hAnsiTheme="majorHAnsi" w:cstheme="majorHAnsi"/>
        </w:rPr>
      </w:pPr>
    </w:p>
    <w:sectPr w:rsidR="007B7AEC" w:rsidRPr="00224D1E" w:rsidSect="00B60BBB">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46" w:rsidRDefault="00230646" w:rsidP="001E22F1">
      <w:r>
        <w:separator/>
      </w:r>
    </w:p>
  </w:endnote>
  <w:endnote w:type="continuationSeparator" w:id="0">
    <w:p w:rsidR="00230646" w:rsidRDefault="00230646" w:rsidP="001E22F1">
      <w:r>
        <w:continuationSeparator/>
      </w:r>
    </w:p>
  </w:endnote>
  <w:endnote w:id="1">
    <w:p w:rsidR="00E2436B" w:rsidRDefault="00E2436B">
      <w:pPr>
        <w:pStyle w:val="EndnoteText"/>
      </w:pPr>
      <w:r>
        <w:rPr>
          <w:rStyle w:val="EndnoteReference"/>
        </w:rPr>
        <w:endnoteRef/>
      </w:r>
      <w:r>
        <w:t xml:space="preserve"> </w:t>
      </w:r>
      <w:r w:rsidR="00355B0B">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0A5C24">
    <w:pPr>
      <w:pStyle w:val="TGAppendixBodyHeaders"/>
      <w:tabs>
        <w:tab w:val="clear" w:pos="720"/>
        <w:tab w:val="left" w:pos="3195"/>
      </w:tabs>
      <w:spacing w:line="276" w:lineRule="auto"/>
      <w:rPr>
        <w:rFonts w:ascii="Arial" w:hAnsi="Arial" w:cs="Arial"/>
        <w:sz w:val="6"/>
        <w:szCs w:val="6"/>
      </w:rPr>
    </w:pPr>
  </w:p>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46" w:rsidRDefault="00230646" w:rsidP="001E22F1">
      <w:r>
        <w:separator/>
      </w:r>
    </w:p>
  </w:footnote>
  <w:footnote w:type="continuationSeparator" w:id="0">
    <w:p w:rsidR="00230646" w:rsidRDefault="00230646"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697F"/>
    <w:multiLevelType w:val="hybridMultilevel"/>
    <w:tmpl w:val="813A09F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235A11"/>
    <w:multiLevelType w:val="hybridMultilevel"/>
    <w:tmpl w:val="2C64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D7696"/>
    <w:multiLevelType w:val="hybridMultilevel"/>
    <w:tmpl w:val="59B01CB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7"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2947EA"/>
    <w:multiLevelType w:val="hybridMultilevel"/>
    <w:tmpl w:val="26AA8B0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12"/>
  </w:num>
  <w:num w:numId="4">
    <w:abstractNumId w:val="45"/>
  </w:num>
  <w:num w:numId="5">
    <w:abstractNumId w:val="5"/>
  </w:num>
  <w:num w:numId="6">
    <w:abstractNumId w:val="41"/>
  </w:num>
  <w:num w:numId="7">
    <w:abstractNumId w:val="4"/>
  </w:num>
  <w:num w:numId="8">
    <w:abstractNumId w:val="36"/>
  </w:num>
  <w:num w:numId="9">
    <w:abstractNumId w:val="17"/>
  </w:num>
  <w:num w:numId="10">
    <w:abstractNumId w:val="6"/>
  </w:num>
  <w:num w:numId="11">
    <w:abstractNumId w:val="14"/>
  </w:num>
  <w:num w:numId="12">
    <w:abstractNumId w:val="27"/>
  </w:num>
  <w:num w:numId="13">
    <w:abstractNumId w:val="25"/>
  </w:num>
  <w:num w:numId="14">
    <w:abstractNumId w:val="29"/>
  </w:num>
  <w:num w:numId="15">
    <w:abstractNumId w:val="33"/>
  </w:num>
  <w:num w:numId="16">
    <w:abstractNumId w:val="1"/>
  </w:num>
  <w:num w:numId="17">
    <w:abstractNumId w:val="22"/>
  </w:num>
  <w:num w:numId="18">
    <w:abstractNumId w:val="40"/>
  </w:num>
  <w:num w:numId="19">
    <w:abstractNumId w:val="8"/>
  </w:num>
  <w:num w:numId="20">
    <w:abstractNumId w:val="32"/>
  </w:num>
  <w:num w:numId="21">
    <w:abstractNumId w:val="37"/>
  </w:num>
  <w:num w:numId="22">
    <w:abstractNumId w:val="11"/>
  </w:num>
  <w:num w:numId="23">
    <w:abstractNumId w:val="7"/>
  </w:num>
  <w:num w:numId="24">
    <w:abstractNumId w:val="38"/>
  </w:num>
  <w:num w:numId="25">
    <w:abstractNumId w:val="13"/>
  </w:num>
  <w:num w:numId="26">
    <w:abstractNumId w:val="2"/>
  </w:num>
  <w:num w:numId="27">
    <w:abstractNumId w:val="23"/>
  </w:num>
  <w:num w:numId="28">
    <w:abstractNumId w:val="20"/>
  </w:num>
  <w:num w:numId="29">
    <w:abstractNumId w:val="24"/>
  </w:num>
  <w:num w:numId="30">
    <w:abstractNumId w:val="35"/>
  </w:num>
  <w:num w:numId="31">
    <w:abstractNumId w:val="43"/>
  </w:num>
  <w:num w:numId="32">
    <w:abstractNumId w:val="44"/>
  </w:num>
  <w:num w:numId="33">
    <w:abstractNumId w:val="9"/>
  </w:num>
  <w:num w:numId="34">
    <w:abstractNumId w:val="0"/>
  </w:num>
  <w:num w:numId="35">
    <w:abstractNumId w:val="34"/>
  </w:num>
  <w:num w:numId="36">
    <w:abstractNumId w:val="26"/>
  </w:num>
  <w:num w:numId="37">
    <w:abstractNumId w:val="28"/>
  </w:num>
  <w:num w:numId="38">
    <w:abstractNumId w:val="21"/>
  </w:num>
  <w:num w:numId="39">
    <w:abstractNumId w:val="30"/>
  </w:num>
  <w:num w:numId="40">
    <w:abstractNumId w:val="18"/>
  </w:num>
  <w:num w:numId="41">
    <w:abstractNumId w:val="39"/>
  </w:num>
  <w:num w:numId="42">
    <w:abstractNumId w:val="19"/>
  </w:num>
  <w:num w:numId="43">
    <w:abstractNumId w:val="15"/>
  </w:num>
  <w:num w:numId="44">
    <w:abstractNumId w:val="31"/>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A5C24"/>
    <w:rsid w:val="000B0938"/>
    <w:rsid w:val="000B0F7D"/>
    <w:rsid w:val="000B3130"/>
    <w:rsid w:val="000B3595"/>
    <w:rsid w:val="000B3BCB"/>
    <w:rsid w:val="000B5E2B"/>
    <w:rsid w:val="000C53FD"/>
    <w:rsid w:val="000D1780"/>
    <w:rsid w:val="000D2778"/>
    <w:rsid w:val="000D553E"/>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0646"/>
    <w:rsid w:val="0023261D"/>
    <w:rsid w:val="002375DE"/>
    <w:rsid w:val="00246779"/>
    <w:rsid w:val="00262C31"/>
    <w:rsid w:val="002638DC"/>
    <w:rsid w:val="00263CE0"/>
    <w:rsid w:val="00266D6E"/>
    <w:rsid w:val="002678E9"/>
    <w:rsid w:val="00282909"/>
    <w:rsid w:val="00287962"/>
    <w:rsid w:val="00290694"/>
    <w:rsid w:val="00292D76"/>
    <w:rsid w:val="00297C2A"/>
    <w:rsid w:val="002A71CC"/>
    <w:rsid w:val="002B3AC4"/>
    <w:rsid w:val="002B44C0"/>
    <w:rsid w:val="002B59FC"/>
    <w:rsid w:val="002C76AB"/>
    <w:rsid w:val="002C7A86"/>
    <w:rsid w:val="002D28DF"/>
    <w:rsid w:val="002E0713"/>
    <w:rsid w:val="002F119A"/>
    <w:rsid w:val="002F204D"/>
    <w:rsid w:val="002F2F32"/>
    <w:rsid w:val="002F7B4B"/>
    <w:rsid w:val="0030193E"/>
    <w:rsid w:val="00321F38"/>
    <w:rsid w:val="00322690"/>
    <w:rsid w:val="00330ACB"/>
    <w:rsid w:val="00331394"/>
    <w:rsid w:val="003317A8"/>
    <w:rsid w:val="003353C5"/>
    <w:rsid w:val="003454E5"/>
    <w:rsid w:val="00347F97"/>
    <w:rsid w:val="00354173"/>
    <w:rsid w:val="00355B0B"/>
    <w:rsid w:val="003616AC"/>
    <w:rsid w:val="00366270"/>
    <w:rsid w:val="00370ED0"/>
    <w:rsid w:val="00375A18"/>
    <w:rsid w:val="0038078D"/>
    <w:rsid w:val="00386024"/>
    <w:rsid w:val="003910F3"/>
    <w:rsid w:val="0039752D"/>
    <w:rsid w:val="003A0397"/>
    <w:rsid w:val="003A4DD4"/>
    <w:rsid w:val="003A6E33"/>
    <w:rsid w:val="003B593C"/>
    <w:rsid w:val="003C340E"/>
    <w:rsid w:val="003C3EF6"/>
    <w:rsid w:val="003C56E7"/>
    <w:rsid w:val="003D120B"/>
    <w:rsid w:val="003D4CCB"/>
    <w:rsid w:val="003D5759"/>
    <w:rsid w:val="003D6B64"/>
    <w:rsid w:val="003E45AC"/>
    <w:rsid w:val="00405A29"/>
    <w:rsid w:val="00405D3E"/>
    <w:rsid w:val="00405E4F"/>
    <w:rsid w:val="00411497"/>
    <w:rsid w:val="004130AA"/>
    <w:rsid w:val="004142B1"/>
    <w:rsid w:val="00414F4B"/>
    <w:rsid w:val="00422D9C"/>
    <w:rsid w:val="00424234"/>
    <w:rsid w:val="00435A07"/>
    <w:rsid w:val="00441ACF"/>
    <w:rsid w:val="00446720"/>
    <w:rsid w:val="0045383F"/>
    <w:rsid w:val="004618AB"/>
    <w:rsid w:val="00463F52"/>
    <w:rsid w:val="00467E18"/>
    <w:rsid w:val="00471C92"/>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0DD6"/>
    <w:rsid w:val="00514128"/>
    <w:rsid w:val="005142C1"/>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B7AEC"/>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56912"/>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962E3"/>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0BBB"/>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436B"/>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13A8C"/>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F645EED8-4D46-44D5-9002-D95B59CA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43416707">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483D1BC2-3600-4BE6-86E7-C7AAD4A8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SEC</Company>
  <LinksUpToDate>false</LinksUpToDate>
  <CharactersWithSpaces>5418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3</cp:revision>
  <cp:lastPrinted>2016-07-12T18:00:00Z</cp:lastPrinted>
  <dcterms:created xsi:type="dcterms:W3CDTF">2017-02-24T14:52:00Z</dcterms:created>
  <dcterms:modified xsi:type="dcterms:W3CDTF">2017-08-23T20:26:00Z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